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16688FBE" w:rsidR="0086597B" w:rsidRDefault="0086597B" w:rsidP="0086597B">
      <w:pPr>
        <w:pStyle w:val="CRCoverPage"/>
        <w:tabs>
          <w:tab w:val="right" w:pos="9639"/>
        </w:tabs>
        <w:rPr>
          <w:b/>
        </w:rPr>
      </w:pPr>
      <w:r>
        <w:rPr>
          <w:b/>
          <w:sz w:val="24"/>
        </w:rPr>
        <w:t>3GPP TSG RAN WG1 #1</w:t>
      </w:r>
      <w:r w:rsidR="00024696">
        <w:rPr>
          <w:b/>
          <w:sz w:val="24"/>
        </w:rPr>
        <w:t>2</w:t>
      </w:r>
      <w:r w:rsidR="00742311">
        <w:rPr>
          <w:b/>
          <w:sz w:val="24"/>
        </w:rPr>
        <w:t xml:space="preserve">3.       </w:t>
      </w:r>
      <w:r>
        <w:rPr>
          <w:b/>
          <w:sz w:val="24"/>
        </w:rPr>
        <w:t xml:space="preserve">                                           </w:t>
      </w:r>
      <w:r w:rsidR="00FF706B">
        <w:rPr>
          <w:b/>
          <w:sz w:val="24"/>
        </w:rPr>
        <w:t xml:space="preserve">    </w:t>
      </w:r>
      <w:r>
        <w:rPr>
          <w:b/>
          <w:sz w:val="24"/>
        </w:rPr>
        <w:t xml:space="preserve">              </w:t>
      </w:r>
      <w:r w:rsidR="002C4A0C" w:rsidRPr="002C4A0C">
        <w:rPr>
          <w:b/>
          <w:sz w:val="24"/>
        </w:rPr>
        <w:t>R1-2509093</w:t>
      </w:r>
      <w:r>
        <w:rPr>
          <w:b/>
          <w:i/>
          <w:sz w:val="28"/>
        </w:rPr>
        <w:tab/>
      </w:r>
    </w:p>
    <w:p w14:paraId="34C80D81" w14:textId="77777777" w:rsidR="007751BC" w:rsidRDefault="007751BC" w:rsidP="007751BC">
      <w:pPr>
        <w:tabs>
          <w:tab w:val="center" w:pos="4536"/>
          <w:tab w:val="right" w:pos="9072"/>
        </w:tabs>
        <w:rPr>
          <w:rFonts w:ascii="Arial" w:eastAsia="MS Mincho" w:hAnsi="Arial" w:cs="Arial"/>
          <w:b/>
          <w:bCs/>
          <w:lang w:val="en-GB" w:eastAsia="ja-JP"/>
        </w:rPr>
      </w:pPr>
      <w:r>
        <w:rPr>
          <w:rFonts w:ascii="Arial" w:eastAsia="MS Mincho" w:hAnsi="Arial" w:cs="Arial"/>
          <w:b/>
          <w:bCs/>
          <w:lang w:val="en-GB" w:eastAsia="ja-JP"/>
        </w:rPr>
        <w:t>Dallas</w:t>
      </w:r>
      <w:r w:rsidRPr="00AB4A68">
        <w:rPr>
          <w:rFonts w:ascii="Arial" w:eastAsia="MS Mincho" w:hAnsi="Arial" w:cs="Arial"/>
          <w:b/>
          <w:bCs/>
          <w:lang w:val="en-GB" w:eastAsia="ja-JP"/>
        </w:rPr>
        <w:t xml:space="preserve">, </w:t>
      </w:r>
      <w:r>
        <w:rPr>
          <w:rFonts w:ascii="Arial" w:eastAsia="MS Mincho" w:hAnsi="Arial" w:cs="Arial"/>
          <w:b/>
          <w:bCs/>
          <w:lang w:val="en-GB" w:eastAsia="ja-JP"/>
        </w:rPr>
        <w:t>USA</w:t>
      </w:r>
      <w:r w:rsidRPr="00AB4A68">
        <w:rPr>
          <w:rFonts w:ascii="Arial" w:eastAsia="MS Mincho" w:hAnsi="Arial" w:cs="Arial"/>
          <w:b/>
          <w:bCs/>
          <w:lang w:val="en-GB" w:eastAsia="ja-JP"/>
        </w:rPr>
        <w:t xml:space="preserve">, </w:t>
      </w:r>
      <w:r>
        <w:rPr>
          <w:rFonts w:ascii="Arial" w:eastAsia="MS Mincho" w:hAnsi="Arial" w:cs="Arial"/>
          <w:b/>
          <w:bCs/>
          <w:lang w:val="en-GB" w:eastAsia="ja-JP"/>
        </w:rPr>
        <w:t>Nov</w:t>
      </w:r>
      <w:r w:rsidRPr="00AB4A68">
        <w:rPr>
          <w:rFonts w:ascii="Arial" w:eastAsia="MS Mincho" w:hAnsi="Arial" w:cs="Arial"/>
          <w:b/>
          <w:bCs/>
          <w:lang w:val="en-GB" w:eastAsia="ja-JP"/>
        </w:rPr>
        <w:t xml:space="preserve"> 1</w:t>
      </w:r>
      <w:r>
        <w:rPr>
          <w:rFonts w:ascii="Arial" w:eastAsia="MS Mincho" w:hAnsi="Arial" w:cs="Arial"/>
          <w:b/>
          <w:bCs/>
          <w:lang w:val="en-GB" w:eastAsia="ja-JP"/>
        </w:rPr>
        <w:t>7</w:t>
      </w:r>
      <w:r w:rsidRPr="00AB4A68">
        <w:rPr>
          <w:rFonts w:ascii="Arial" w:eastAsia="MS Mincho" w:hAnsi="Arial" w:cs="Arial"/>
          <w:b/>
          <w:bCs/>
          <w:lang w:val="en-GB" w:eastAsia="ja-JP"/>
        </w:rPr>
        <w:t xml:space="preserve">th – </w:t>
      </w:r>
      <w:r>
        <w:rPr>
          <w:rFonts w:ascii="Arial" w:eastAsia="MS Mincho" w:hAnsi="Arial" w:cs="Arial"/>
          <w:b/>
          <w:bCs/>
          <w:lang w:val="en-GB" w:eastAsia="ja-JP"/>
        </w:rPr>
        <w:t>21st</w:t>
      </w:r>
      <w:r w:rsidRPr="00AB4A68">
        <w:rPr>
          <w:rFonts w:ascii="Arial" w:eastAsia="MS Mincho" w:hAnsi="Arial" w:cs="Arial"/>
          <w:b/>
          <w:bCs/>
          <w:lang w:val="en-GB" w:eastAsia="ja-JP"/>
        </w:rPr>
        <w:t>, 2025</w:t>
      </w:r>
    </w:p>
    <w:p w14:paraId="066B74D3" w14:textId="77777777" w:rsidR="00E1410C" w:rsidRPr="007A3593" w:rsidRDefault="00E1410C">
      <w:pPr>
        <w:tabs>
          <w:tab w:val="center" w:pos="4536"/>
          <w:tab w:val="right" w:pos="9072"/>
        </w:tabs>
        <w:rPr>
          <w:rFonts w:ascii="Arial" w:eastAsia="MS Mincho" w:hAnsi="Arial" w:cs="Arial"/>
          <w:b/>
          <w:bCs/>
          <w:lang w:val="en-GB" w:eastAsia="ja-JP"/>
        </w:rPr>
      </w:pPr>
    </w:p>
    <w:p w14:paraId="636D8650" w14:textId="1B17E577" w:rsidR="00E1410C" w:rsidRDefault="00000000">
      <w:pPr>
        <w:pStyle w:val="3GPPHeader"/>
      </w:pPr>
      <w:r>
        <w:t>Agenda Item:</w:t>
      </w:r>
      <w:r>
        <w:tab/>
      </w:r>
      <w:r w:rsidR="006F401A">
        <w:t>1</w:t>
      </w:r>
      <w:r w:rsidR="00E9516D">
        <w:t>0</w:t>
      </w:r>
      <w:r w:rsidR="005A3F36">
        <w:t>.</w:t>
      </w:r>
      <w:r w:rsidR="00E9516D">
        <w:t>1.1.</w:t>
      </w:r>
      <w:r w:rsidR="0015236E">
        <w:t>2</w:t>
      </w:r>
      <w:r w:rsidR="005A3F36">
        <w:t xml:space="preserve"> </w:t>
      </w:r>
    </w:p>
    <w:p w14:paraId="7BC685B9" w14:textId="77777777" w:rsidR="00E1410C" w:rsidRDefault="00000000">
      <w:pPr>
        <w:pStyle w:val="3GPPHeader"/>
      </w:pPr>
      <w:r>
        <w:t>Source:</w:t>
      </w:r>
      <w:r>
        <w:tab/>
        <w:t>Apple Inc.</w:t>
      </w:r>
    </w:p>
    <w:p w14:paraId="0A05022C" w14:textId="35D019FA" w:rsidR="00E1410C" w:rsidRDefault="00000000">
      <w:pPr>
        <w:pStyle w:val="3GPPHeader"/>
      </w:pPr>
      <w:r>
        <w:t>Title:</w:t>
      </w:r>
      <w:r>
        <w:tab/>
      </w:r>
      <w:r w:rsidR="006F401A">
        <w:t xml:space="preserve">On </w:t>
      </w:r>
      <w:r w:rsidR="0015236E">
        <w:t>other</w:t>
      </w:r>
      <w:r w:rsidR="00E9516D">
        <w:t xml:space="preserve"> aspects for AI based CSI spatial/frequency domain compression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259F6BFD" w14:textId="0C6B9EEE" w:rsidR="00432C84" w:rsidRDefault="002D1192">
      <w:pPr>
        <w:pStyle w:val="0Maintext"/>
        <w:spacing w:after="120" w:afterAutospacing="0" w:line="240" w:lineRule="auto"/>
        <w:ind w:firstLine="0"/>
        <w:rPr>
          <w:sz w:val="22"/>
          <w:szCs w:val="22"/>
          <w:lang w:val="en-US"/>
        </w:rPr>
      </w:pPr>
      <w:r>
        <w:rPr>
          <w:noProof/>
          <w:sz w:val="22"/>
          <w:szCs w:val="22"/>
          <w:lang w:val="en-US"/>
        </w:rPr>
        <w:t xml:space="preserve">AI based CSI compression was approved as WI </w:t>
      </w:r>
      <w:r w:rsidR="001D091D">
        <w:rPr>
          <w:noProof/>
          <w:sz w:val="22"/>
          <w:szCs w:val="22"/>
          <w:lang w:val="en-US"/>
        </w:rPr>
        <w:t xml:space="preserve">in </w:t>
      </w:r>
      <w:r w:rsidR="00B64286">
        <w:rPr>
          <w:sz w:val="22"/>
          <w:szCs w:val="22"/>
          <w:lang w:val="en-US"/>
        </w:rPr>
        <w:fldChar w:fldCharType="begin"/>
      </w:r>
      <w:r w:rsidR="00B64286">
        <w:rPr>
          <w:noProof/>
          <w:sz w:val="22"/>
          <w:szCs w:val="22"/>
          <w:lang w:val="en-US"/>
        </w:rPr>
        <w:instrText xml:space="preserve"> REF _Ref209520741 \r \h </w:instrText>
      </w:r>
      <w:r w:rsidR="00B64286">
        <w:rPr>
          <w:sz w:val="22"/>
          <w:szCs w:val="22"/>
          <w:lang w:val="en-US"/>
        </w:rPr>
      </w:r>
      <w:r w:rsidR="00B64286">
        <w:rPr>
          <w:sz w:val="22"/>
          <w:szCs w:val="22"/>
          <w:lang w:val="en-US"/>
        </w:rPr>
        <w:fldChar w:fldCharType="separate"/>
      </w:r>
      <w:r w:rsidR="003E5806">
        <w:rPr>
          <w:noProof/>
          <w:sz w:val="22"/>
          <w:szCs w:val="22"/>
          <w:lang w:val="en-US"/>
        </w:rPr>
        <w:t>[1]</w:t>
      </w:r>
      <w:r w:rsidR="00B64286">
        <w:rPr>
          <w:sz w:val="22"/>
          <w:szCs w:val="22"/>
          <w:lang w:val="en-US"/>
        </w:rPr>
        <w:fldChar w:fldCharType="end"/>
      </w:r>
      <w:r w:rsidR="0015426E">
        <w:rPr>
          <w:sz w:val="22"/>
          <w:szCs w:val="22"/>
          <w:lang w:val="en-US"/>
        </w:rPr>
        <w:t>.</w:t>
      </w:r>
      <w:r>
        <w:rPr>
          <w:sz w:val="22"/>
          <w:szCs w:val="22"/>
          <w:lang w:val="en-US"/>
        </w:rPr>
        <w:t xml:space="preserve"> The detailed WI scope is listed below.  </w:t>
      </w:r>
    </w:p>
    <w:p w14:paraId="7215B68E" w14:textId="7E04C4F4" w:rsidR="00432C84" w:rsidRDefault="002D1192">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45AC6B21" wp14:editId="18442C12">
                <wp:simplePos x="0" y="0"/>
                <wp:positionH relativeFrom="column">
                  <wp:posOffset>58057</wp:posOffset>
                </wp:positionH>
                <wp:positionV relativeFrom="paragraph">
                  <wp:posOffset>118382</wp:posOffset>
                </wp:positionV>
                <wp:extent cx="5672762" cy="2637972"/>
                <wp:effectExtent l="0" t="0" r="17145" b="16510"/>
                <wp:wrapNone/>
                <wp:docPr id="285647618" name="Text Box 1"/>
                <wp:cNvGraphicFramePr/>
                <a:graphic xmlns:a="http://schemas.openxmlformats.org/drawingml/2006/main">
                  <a:graphicData uri="http://schemas.microsoft.com/office/word/2010/wordprocessingShape">
                    <wps:wsp>
                      <wps:cNvSpPr txBox="1"/>
                      <wps:spPr>
                        <a:xfrm>
                          <a:off x="0" y="0"/>
                          <a:ext cx="5672762" cy="2637972"/>
                        </a:xfrm>
                        <a:prstGeom prst="rect">
                          <a:avLst/>
                        </a:prstGeom>
                        <a:solidFill>
                          <a:schemeClr val="lt1"/>
                        </a:solidFill>
                        <a:ln w="6350">
                          <a:solidFill>
                            <a:prstClr val="black"/>
                          </a:solidFill>
                        </a:ln>
                      </wps:spPr>
                      <wps:txbx>
                        <w:txbxContent>
                          <w:p w14:paraId="11FE60F2"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66D9F0CA" w14:textId="77777777" w:rsidR="002D1192" w:rsidRPr="00C06B23" w:rsidRDefault="002D1192" w:rsidP="002D1192">
                            <w:pPr>
                              <w:pStyle w:val="ListParagraph"/>
                              <w:numPr>
                                <w:ilvl w:val="0"/>
                                <w:numId w:val="5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51F75D28" w14:textId="77777777" w:rsidR="002D1192" w:rsidRPr="00C06B23" w:rsidRDefault="002D1192" w:rsidP="002D1192">
                            <w:pPr>
                              <w:pStyle w:val="ListParagraph"/>
                              <w:numPr>
                                <w:ilvl w:val="0"/>
                                <w:numId w:val="5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Specify necessary signalling/mechanism(s) as per the identified potential specification impacts in FS_NR_AIML_Air , including:</w:t>
                            </w:r>
                          </w:p>
                          <w:p w14:paraId="19BDB754" w14:textId="77777777" w:rsidR="002D1192" w:rsidRPr="00C06B23" w:rsidRDefault="002D1192" w:rsidP="002D1192">
                            <w:pPr>
                              <w:pStyle w:val="ListParagraph"/>
                              <w:numPr>
                                <w:ilvl w:val="1"/>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1E2EC54B" w14:textId="77777777" w:rsidR="002D1192" w:rsidRPr="00C06B23" w:rsidRDefault="002D1192" w:rsidP="002D1192">
                            <w:pPr>
                              <w:pStyle w:val="ListParagraph"/>
                              <w:numPr>
                                <w:ilvl w:val="1"/>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0353956F" w14:textId="77777777" w:rsidR="002D1192" w:rsidRPr="00C06B23" w:rsidRDefault="002D1192" w:rsidP="002D1192">
                            <w:pPr>
                              <w:pStyle w:val="ListParagraph"/>
                              <w:numPr>
                                <w:ilvl w:val="1"/>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389865DE" w14:textId="77777777" w:rsidR="002D1192" w:rsidRPr="00C06B23" w:rsidRDefault="002D1192" w:rsidP="002D1192">
                            <w:pPr>
                              <w:pStyle w:val="ListParagraph"/>
                              <w:numPr>
                                <w:ilvl w:val="2"/>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4988C560" w14:textId="77777777" w:rsidR="002D1192" w:rsidRPr="00C06B23" w:rsidRDefault="002D1192" w:rsidP="002D1192">
                            <w:pPr>
                              <w:pStyle w:val="ListParagraph"/>
                              <w:numPr>
                                <w:ilvl w:val="2"/>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1F08C88C" w14:textId="77777777" w:rsidR="002D1192" w:rsidRPr="00C06B23" w:rsidRDefault="002D1192" w:rsidP="002D1192">
                            <w:pPr>
                              <w:pStyle w:val="ListParagraph"/>
                              <w:numPr>
                                <w:ilvl w:val="1"/>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640865BE"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4.55pt;margin-top:9.3pt;width:446.65pt;height:207.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" fillcolor="white [3201]" strokeweight=".5pt">
                <v:textbox>
                  <w:txbxContent>
                    <w:p w14:paraId="11FE60F2" w14:textId="77777777" w:rsidR="002D1192" w:rsidRPr="00C06B23" w:rsidRDefault="002D1192" w:rsidP="002D1192">
                      <w:pPr>
                        <w:rPr>
                          <w:bCs/>
                          <w:sz w:val="22"/>
                          <w:szCs w:val="22"/>
                        </w:rPr>
                      </w:pPr>
                      <w:r w:rsidRPr="00C06B23">
                        <w:rPr>
                          <w:b/>
                          <w:color w:val="0000FF"/>
                          <w:sz w:val="22"/>
                          <w:szCs w:val="22"/>
                        </w:rPr>
                        <w:t>CSI feedback enhancement</w:t>
                      </w:r>
                      <w:r w:rsidRPr="00C06B23">
                        <w:rPr>
                          <w:bCs/>
                          <w:sz w:val="22"/>
                          <w:szCs w:val="22"/>
                        </w:rPr>
                        <w:t>, encompassing (two-sided model) [RAN1, RAN2]:</w:t>
                      </w:r>
                    </w:p>
                    <w:p w14:paraId="66D9F0CA" w14:textId="77777777" w:rsidR="002D1192" w:rsidRPr="00C06B23" w:rsidRDefault="002D1192" w:rsidP="002D1192">
                      <w:pPr>
                        <w:pStyle w:val="ListParagraph"/>
                        <w:numPr>
                          <w:ilvl w:val="0"/>
                          <w:numId w:val="5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CSI spatial/frequency compression without temporal aspects (“Case 0”), </w:t>
                      </w:r>
                    </w:p>
                    <w:p w14:paraId="51F75D28" w14:textId="77777777" w:rsidR="002D1192" w:rsidRPr="00C06B23" w:rsidRDefault="002D1192" w:rsidP="002D1192">
                      <w:pPr>
                        <w:pStyle w:val="ListParagraph"/>
                        <w:numPr>
                          <w:ilvl w:val="0"/>
                          <w:numId w:val="55"/>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necessary </w:t>
                      </w:r>
                      <w:proofErr w:type="spellStart"/>
                      <w:r w:rsidRPr="00C06B23">
                        <w:rPr>
                          <w:rFonts w:ascii="Times New Roman" w:hAnsi="Times New Roman"/>
                          <w:bCs/>
                          <w:sz w:val="22"/>
                          <w:szCs w:val="22"/>
                          <w:lang w:val="en-US"/>
                        </w:rPr>
                        <w:t>signalling</w:t>
                      </w:r>
                      <w:proofErr w:type="spellEnd"/>
                      <w:r w:rsidRPr="00C06B23">
                        <w:rPr>
                          <w:rFonts w:ascii="Times New Roman" w:hAnsi="Times New Roman"/>
                          <w:bCs/>
                          <w:sz w:val="22"/>
                          <w:szCs w:val="22"/>
                          <w:lang w:val="en-US"/>
                        </w:rPr>
                        <w:t xml:space="preserve">/mechanism(s) as per the identified potential specification impacts in </w:t>
                      </w:r>
                      <w:proofErr w:type="spellStart"/>
                      <w:r w:rsidRPr="00C06B23">
                        <w:rPr>
                          <w:rFonts w:ascii="Times New Roman" w:hAnsi="Times New Roman"/>
                          <w:bCs/>
                          <w:sz w:val="22"/>
                          <w:szCs w:val="22"/>
                          <w:lang w:val="en-US"/>
                        </w:rPr>
                        <w:t>FS_NR_AIML_</w:t>
                      </w:r>
                      <w:proofErr w:type="gramStart"/>
                      <w:r w:rsidRPr="00C06B23">
                        <w:rPr>
                          <w:rFonts w:ascii="Times New Roman" w:hAnsi="Times New Roman"/>
                          <w:bCs/>
                          <w:sz w:val="22"/>
                          <w:szCs w:val="22"/>
                          <w:lang w:val="en-US"/>
                        </w:rPr>
                        <w:t>Air</w:t>
                      </w:r>
                      <w:proofErr w:type="spellEnd"/>
                      <w:r w:rsidRPr="00C06B23">
                        <w:rPr>
                          <w:rFonts w:ascii="Times New Roman" w:hAnsi="Times New Roman"/>
                          <w:bCs/>
                          <w:sz w:val="22"/>
                          <w:szCs w:val="22"/>
                          <w:lang w:val="en-US"/>
                        </w:rPr>
                        <w:t xml:space="preserve"> ,</w:t>
                      </w:r>
                      <w:proofErr w:type="gramEnd"/>
                      <w:r w:rsidRPr="00C06B23">
                        <w:rPr>
                          <w:rFonts w:ascii="Times New Roman" w:hAnsi="Times New Roman"/>
                          <w:bCs/>
                          <w:sz w:val="22"/>
                          <w:szCs w:val="22"/>
                          <w:lang w:val="en-US"/>
                        </w:rPr>
                        <w:t xml:space="preserve"> including:</w:t>
                      </w:r>
                    </w:p>
                    <w:p w14:paraId="19BDB754" w14:textId="77777777" w:rsidR="002D1192" w:rsidRPr="00C06B23" w:rsidRDefault="002D1192" w:rsidP="002D1192">
                      <w:pPr>
                        <w:pStyle w:val="ListParagraph"/>
                        <w:numPr>
                          <w:ilvl w:val="1"/>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Model pairing procedure including ID and applicability reporting</w:t>
                      </w:r>
                    </w:p>
                    <w:p w14:paraId="1E2EC54B" w14:textId="77777777" w:rsidR="002D1192" w:rsidRPr="00C06B23" w:rsidRDefault="002D1192" w:rsidP="002D1192">
                      <w:pPr>
                        <w:pStyle w:val="ListParagraph"/>
                        <w:numPr>
                          <w:ilvl w:val="1"/>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0353956F" w14:textId="77777777" w:rsidR="002D1192" w:rsidRPr="00C06B23" w:rsidRDefault="002D1192" w:rsidP="002D1192">
                      <w:pPr>
                        <w:pStyle w:val="ListParagraph"/>
                        <w:numPr>
                          <w:ilvl w:val="1"/>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NW and UE side data collection for training,</w:t>
                      </w:r>
                    </w:p>
                    <w:p w14:paraId="389865DE" w14:textId="77777777" w:rsidR="002D1192" w:rsidRPr="00C06B23" w:rsidRDefault="002D1192" w:rsidP="002D1192">
                      <w:pPr>
                        <w:pStyle w:val="ListParagraph"/>
                        <w:numPr>
                          <w:ilvl w:val="2"/>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Target CSI format</w:t>
                      </w:r>
                    </w:p>
                    <w:p w14:paraId="4988C560" w14:textId="77777777" w:rsidR="002D1192" w:rsidRPr="00C06B23" w:rsidRDefault="002D1192" w:rsidP="002D1192">
                      <w:pPr>
                        <w:pStyle w:val="ListParagraph"/>
                        <w:numPr>
                          <w:ilvl w:val="2"/>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Note The framework defined in BM and CSI prediction use cases could be reused</w:t>
                      </w:r>
                    </w:p>
                    <w:p w14:paraId="1F08C88C" w14:textId="77777777" w:rsidR="002D1192" w:rsidRPr="00C06B23" w:rsidRDefault="002D1192" w:rsidP="002D1192">
                      <w:pPr>
                        <w:pStyle w:val="ListParagraph"/>
                        <w:numPr>
                          <w:ilvl w:val="1"/>
                          <w:numId w:val="54"/>
                        </w:numPr>
                        <w:overflowPunct w:val="0"/>
                        <w:autoSpaceDE w:val="0"/>
                        <w:autoSpaceDN w:val="0"/>
                        <w:adjustRightInd w:val="0"/>
                        <w:ind w:leftChars="0"/>
                        <w:contextualSpacing/>
                        <w:textAlignment w:val="baseline"/>
                        <w:rPr>
                          <w:rFonts w:ascii="Times New Roman" w:hAnsi="Times New Roman"/>
                          <w:bCs/>
                          <w:sz w:val="22"/>
                          <w:szCs w:val="22"/>
                          <w:lang w:val="en-US"/>
                        </w:rPr>
                      </w:pPr>
                      <w:r w:rsidRPr="00C06B23">
                        <w:rPr>
                          <w:rFonts w:ascii="Times New Roman" w:hAnsi="Times New Roman"/>
                          <w:bCs/>
                          <w:sz w:val="22"/>
                          <w:szCs w:val="22"/>
                          <w:lang w:val="en-US"/>
                        </w:rPr>
                        <w:t xml:space="preserve">Specify performance monitoring </w:t>
                      </w:r>
                    </w:p>
                    <w:p w14:paraId="640865BE" w14:textId="77777777" w:rsidR="00432C84" w:rsidRPr="00432C84" w:rsidRDefault="00432C84">
                      <w:pPr>
                        <w:rPr>
                          <w:lang w:val="en-GB"/>
                        </w:rPr>
                      </w:pPr>
                    </w:p>
                  </w:txbxContent>
                </v:textbox>
              </v:shape>
            </w:pict>
          </mc:Fallback>
        </mc:AlternateContent>
      </w: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17CBB919" w14:textId="77777777" w:rsidR="00331577" w:rsidRDefault="00331577" w:rsidP="001D091D">
      <w:pPr>
        <w:pStyle w:val="0Maintext"/>
        <w:spacing w:after="120" w:afterAutospacing="0" w:line="240" w:lineRule="auto"/>
        <w:ind w:firstLine="0"/>
        <w:rPr>
          <w:sz w:val="22"/>
          <w:szCs w:val="22"/>
          <w:lang w:val="en-US"/>
        </w:rPr>
      </w:pPr>
    </w:p>
    <w:p w14:paraId="0017D909" w14:textId="77777777" w:rsidR="00331577" w:rsidRDefault="00331577" w:rsidP="001D091D">
      <w:pPr>
        <w:pStyle w:val="0Maintext"/>
        <w:spacing w:after="120" w:afterAutospacing="0" w:line="240" w:lineRule="auto"/>
        <w:ind w:firstLine="0"/>
        <w:rPr>
          <w:sz w:val="22"/>
          <w:szCs w:val="22"/>
          <w:lang w:val="en-US"/>
        </w:rPr>
      </w:pPr>
    </w:p>
    <w:p w14:paraId="1C27D4F9" w14:textId="77777777" w:rsidR="00331577" w:rsidRDefault="00331577" w:rsidP="001D091D">
      <w:pPr>
        <w:pStyle w:val="0Maintext"/>
        <w:spacing w:after="120" w:afterAutospacing="0" w:line="240" w:lineRule="auto"/>
        <w:ind w:firstLine="0"/>
        <w:rPr>
          <w:sz w:val="22"/>
          <w:szCs w:val="22"/>
          <w:lang w:val="en-US"/>
        </w:rPr>
      </w:pPr>
    </w:p>
    <w:p w14:paraId="1A7CCC22" w14:textId="77777777" w:rsidR="00331577" w:rsidRDefault="00331577" w:rsidP="001D091D">
      <w:pPr>
        <w:pStyle w:val="0Maintext"/>
        <w:spacing w:after="120" w:afterAutospacing="0" w:line="240" w:lineRule="auto"/>
        <w:ind w:firstLine="0"/>
        <w:rPr>
          <w:sz w:val="22"/>
          <w:szCs w:val="22"/>
          <w:lang w:val="en-US"/>
        </w:rPr>
      </w:pPr>
    </w:p>
    <w:p w14:paraId="38EFEF95" w14:textId="77777777" w:rsidR="00331577" w:rsidRDefault="00331577" w:rsidP="001D091D">
      <w:pPr>
        <w:pStyle w:val="0Maintext"/>
        <w:spacing w:after="120" w:afterAutospacing="0" w:line="240" w:lineRule="auto"/>
        <w:ind w:firstLine="0"/>
        <w:rPr>
          <w:sz w:val="22"/>
          <w:szCs w:val="22"/>
          <w:lang w:val="en-US"/>
        </w:rPr>
      </w:pPr>
    </w:p>
    <w:p w14:paraId="58323F20" w14:textId="77777777" w:rsidR="00331577" w:rsidRDefault="00331577" w:rsidP="001D091D">
      <w:pPr>
        <w:pStyle w:val="0Maintext"/>
        <w:spacing w:after="120" w:afterAutospacing="0" w:line="240" w:lineRule="auto"/>
        <w:ind w:firstLine="0"/>
        <w:rPr>
          <w:sz w:val="22"/>
          <w:szCs w:val="22"/>
          <w:lang w:val="en-US"/>
        </w:rPr>
      </w:pPr>
    </w:p>
    <w:p w14:paraId="6C79DB2B" w14:textId="77777777" w:rsidR="00331577" w:rsidRDefault="00331577" w:rsidP="001D091D">
      <w:pPr>
        <w:pStyle w:val="0Maintext"/>
        <w:spacing w:after="120" w:afterAutospacing="0" w:line="240" w:lineRule="auto"/>
        <w:ind w:firstLine="0"/>
        <w:rPr>
          <w:sz w:val="22"/>
          <w:szCs w:val="22"/>
          <w:lang w:val="en-US"/>
        </w:rPr>
      </w:pPr>
    </w:p>
    <w:p w14:paraId="443B8F95" w14:textId="77777777" w:rsidR="00C06B23" w:rsidRDefault="00C06B23" w:rsidP="0015236E">
      <w:pPr>
        <w:pStyle w:val="0Maintext"/>
        <w:spacing w:after="120"/>
        <w:ind w:firstLine="0"/>
        <w:rPr>
          <w:sz w:val="22"/>
          <w:szCs w:val="22"/>
          <w:lang w:val="en-US"/>
        </w:rPr>
      </w:pPr>
    </w:p>
    <w:p w14:paraId="79FE7472" w14:textId="2650D1B6" w:rsidR="00E9516D" w:rsidRPr="0015236E" w:rsidRDefault="00B31653" w:rsidP="0015236E">
      <w:pPr>
        <w:pStyle w:val="0Maintext"/>
        <w:spacing w:after="120"/>
        <w:ind w:firstLine="0"/>
        <w:rPr>
          <w:sz w:val="22"/>
          <w:szCs w:val="22"/>
        </w:rPr>
      </w:pPr>
      <w:r w:rsidRPr="0015236E">
        <w:rPr>
          <w:sz w:val="22"/>
          <w:szCs w:val="22"/>
          <w:lang w:val="en-US"/>
        </w:rPr>
        <w:t xml:space="preserve">In this paper, we </w:t>
      </w:r>
      <w:r w:rsidR="000241E5" w:rsidRPr="0015236E">
        <w:rPr>
          <w:sz w:val="22"/>
          <w:szCs w:val="22"/>
          <w:lang w:val="en-US"/>
        </w:rPr>
        <w:t>discuss</w:t>
      </w:r>
      <w:r w:rsidR="00E9516D" w:rsidRPr="0015236E">
        <w:rPr>
          <w:sz w:val="22"/>
          <w:szCs w:val="22"/>
          <w:lang w:val="en-US"/>
        </w:rPr>
        <w:t xml:space="preserve"> </w:t>
      </w:r>
      <w:r w:rsidR="006A1851">
        <w:rPr>
          <w:sz w:val="22"/>
          <w:szCs w:val="22"/>
          <w:lang w:val="en-US"/>
        </w:rPr>
        <w:t xml:space="preserve">other aspects of </w:t>
      </w:r>
      <w:r w:rsidR="00E9516D" w:rsidRPr="0015236E">
        <w:rPr>
          <w:sz w:val="22"/>
          <w:szCs w:val="22"/>
          <w:lang w:val="en-US"/>
        </w:rPr>
        <w:t xml:space="preserve">AI based CSI compression, </w:t>
      </w:r>
      <w:r w:rsidR="0015236E" w:rsidRPr="0015236E">
        <w:rPr>
          <w:sz w:val="22"/>
          <w:szCs w:val="22"/>
        </w:rPr>
        <w:t>i</w:t>
      </w:r>
      <w:r w:rsidR="0015236E" w:rsidRPr="0015236E">
        <w:rPr>
          <w:rFonts w:hint="eastAsia"/>
          <w:sz w:val="22"/>
          <w:szCs w:val="22"/>
        </w:rPr>
        <w:t xml:space="preserve">ncluding NW and UE data </w:t>
      </w:r>
      <w:r w:rsidR="0015236E" w:rsidRPr="0015236E">
        <w:rPr>
          <w:sz w:val="22"/>
          <w:szCs w:val="22"/>
        </w:rPr>
        <w:t>collection</w:t>
      </w:r>
      <w:r w:rsidR="0015236E" w:rsidRPr="0015236E">
        <w:rPr>
          <w:rFonts w:hint="eastAsia"/>
          <w:sz w:val="22"/>
          <w:szCs w:val="22"/>
        </w:rPr>
        <w:t xml:space="preserve"> for training, performance monitoring, as well as model</w:t>
      </w:r>
      <w:r w:rsidR="0015236E" w:rsidRPr="0015236E">
        <w:rPr>
          <w:sz w:val="22"/>
          <w:szCs w:val="22"/>
        </w:rPr>
        <w:t xml:space="preserve"> pairing </w:t>
      </w:r>
      <w:r w:rsidR="0015236E" w:rsidRPr="0015236E">
        <w:rPr>
          <w:rFonts w:hint="eastAsia"/>
          <w:sz w:val="22"/>
          <w:szCs w:val="22"/>
        </w:rPr>
        <w:t>related issues.</w:t>
      </w:r>
      <w:r w:rsidR="0015236E" w:rsidRPr="0015236E">
        <w:rPr>
          <w:sz w:val="22"/>
          <w:szCs w:val="22"/>
        </w:rPr>
        <w:t xml:space="preserve"> </w:t>
      </w:r>
    </w:p>
    <w:p w14:paraId="617207C9" w14:textId="52684490" w:rsidR="00777E23" w:rsidRDefault="004A1D2A" w:rsidP="00777E23">
      <w:pPr>
        <w:pStyle w:val="Heading1"/>
      </w:pPr>
      <w:r>
        <w:t xml:space="preserve">Data collection for training </w:t>
      </w:r>
    </w:p>
    <w:p w14:paraId="234B3B61" w14:textId="13056F03" w:rsidR="008A4D7C" w:rsidRDefault="008A4D7C" w:rsidP="00A17182">
      <w:pPr>
        <w:rPr>
          <w:sz w:val="22"/>
          <w:szCs w:val="22"/>
        </w:rPr>
      </w:pPr>
      <w:bookmarkStart w:id="0" w:name="_Ref202751469"/>
      <w:bookmarkStart w:id="1" w:name="_Toc202953603"/>
      <w:r>
        <w:rPr>
          <w:sz w:val="22"/>
          <w:szCs w:val="22"/>
        </w:rPr>
        <w:t xml:space="preserve">In RAN1 #122b </w:t>
      </w:r>
      <w:r w:rsidR="00212EBB">
        <w:rPr>
          <w:sz w:val="22"/>
          <w:szCs w:val="22"/>
        </w:rPr>
        <w:fldChar w:fldCharType="begin"/>
      </w:r>
      <w:r w:rsidR="00212EBB">
        <w:rPr>
          <w:sz w:val="22"/>
          <w:szCs w:val="22"/>
        </w:rPr>
        <w:instrText xml:space="preserve"> REF _Ref212638364 \r \h </w:instrText>
      </w:r>
      <w:r w:rsidR="00212EBB">
        <w:rPr>
          <w:sz w:val="22"/>
          <w:szCs w:val="22"/>
        </w:rPr>
      </w:r>
      <w:r w:rsidR="00212EBB">
        <w:rPr>
          <w:sz w:val="22"/>
          <w:szCs w:val="22"/>
        </w:rPr>
        <w:fldChar w:fldCharType="separate"/>
      </w:r>
      <w:r w:rsidR="00212EBB">
        <w:rPr>
          <w:sz w:val="22"/>
          <w:szCs w:val="22"/>
        </w:rPr>
        <w:t>[2]</w:t>
      </w:r>
      <w:r w:rsidR="00212EBB">
        <w:rPr>
          <w:sz w:val="22"/>
          <w:szCs w:val="22"/>
        </w:rPr>
        <w:fldChar w:fldCharType="end"/>
      </w:r>
      <w:r w:rsidR="00212EBB">
        <w:rPr>
          <w:sz w:val="22"/>
          <w:szCs w:val="22"/>
        </w:rPr>
        <w:t xml:space="preserve">, it was agreed to further </w:t>
      </w:r>
      <w:r w:rsidR="00073AB2">
        <w:rPr>
          <w:sz w:val="22"/>
          <w:szCs w:val="22"/>
        </w:rPr>
        <w:t xml:space="preserve">study </w:t>
      </w:r>
      <w:r w:rsidR="00D3577B">
        <w:rPr>
          <w:sz w:val="22"/>
          <w:szCs w:val="22"/>
        </w:rPr>
        <w:t xml:space="preserve">training </w:t>
      </w:r>
      <w:r w:rsidR="00073AB2">
        <w:rPr>
          <w:sz w:val="22"/>
          <w:szCs w:val="22"/>
        </w:rPr>
        <w:t xml:space="preserve">data set quantization </w:t>
      </w:r>
      <w:r w:rsidR="00212EBB">
        <w:rPr>
          <w:sz w:val="22"/>
          <w:szCs w:val="22"/>
        </w:rPr>
        <w:t>based on Option 1 (scalar quantization) and Option 4 (</w:t>
      </w:r>
      <w:proofErr w:type="spellStart"/>
      <w:r w:rsidR="00212EBB">
        <w:rPr>
          <w:sz w:val="22"/>
          <w:szCs w:val="22"/>
        </w:rPr>
        <w:t>eTypeII</w:t>
      </w:r>
      <w:proofErr w:type="spellEnd"/>
      <w:r w:rsidR="00212EBB">
        <w:rPr>
          <w:sz w:val="22"/>
          <w:szCs w:val="22"/>
        </w:rPr>
        <w:t xml:space="preserve"> </w:t>
      </w:r>
      <w:r w:rsidR="00F44E51">
        <w:rPr>
          <w:sz w:val="22"/>
          <w:szCs w:val="22"/>
        </w:rPr>
        <w:t>codebook-based</w:t>
      </w:r>
      <w:r w:rsidR="00212EBB">
        <w:rPr>
          <w:sz w:val="22"/>
          <w:szCs w:val="22"/>
        </w:rPr>
        <w:t xml:space="preserve"> quantization)</w:t>
      </w:r>
      <w:r w:rsidR="00B778CD">
        <w:rPr>
          <w:sz w:val="22"/>
          <w:szCs w:val="22"/>
        </w:rPr>
        <w:t>.</w:t>
      </w:r>
      <w:r w:rsidR="007C5BAE">
        <w:rPr>
          <w:sz w:val="22"/>
          <w:szCs w:val="22"/>
        </w:rPr>
        <w:t xml:space="preserve"> For scalar quantization, there are concerns on computation complexity of SVD, especially when the channel matrix is large</w:t>
      </w:r>
      <w:r w:rsidR="00482F38">
        <w:rPr>
          <w:sz w:val="22"/>
          <w:szCs w:val="22"/>
        </w:rPr>
        <w:t xml:space="preserve"> because of </w:t>
      </w:r>
      <w:r w:rsidR="00915773">
        <w:rPr>
          <w:sz w:val="22"/>
          <w:szCs w:val="22"/>
        </w:rPr>
        <w:t xml:space="preserve">large </w:t>
      </w:r>
      <w:r w:rsidR="00482F38">
        <w:rPr>
          <w:sz w:val="22"/>
          <w:szCs w:val="22"/>
        </w:rPr>
        <w:t>number of Tx antenna ports</w:t>
      </w:r>
      <w:r w:rsidR="007C5BAE">
        <w:rPr>
          <w:sz w:val="22"/>
          <w:szCs w:val="22"/>
        </w:rPr>
        <w:t>.</w:t>
      </w:r>
      <w:r w:rsidR="005C1424">
        <w:rPr>
          <w:sz w:val="22"/>
          <w:szCs w:val="22"/>
        </w:rPr>
        <w:t xml:space="preserve"> It was precepted as if </w:t>
      </w:r>
      <w:r w:rsidR="005C1424">
        <w:rPr>
          <w:rFonts w:hint="eastAsia"/>
          <w:sz w:val="22"/>
          <w:szCs w:val="22"/>
        </w:rPr>
        <w:t xml:space="preserve">SVD </w:t>
      </w:r>
      <w:r w:rsidR="005C1424">
        <w:rPr>
          <w:sz w:val="22"/>
          <w:szCs w:val="22"/>
        </w:rPr>
        <w:t xml:space="preserve">complexity </w:t>
      </w:r>
      <w:r w:rsidR="00D66765">
        <w:rPr>
          <w:sz w:val="22"/>
          <w:szCs w:val="22"/>
        </w:rPr>
        <w:t>becomes unacceptable for large number of antenna ports</w:t>
      </w:r>
      <w:r w:rsidR="005C1424">
        <w:rPr>
          <w:sz w:val="22"/>
          <w:szCs w:val="22"/>
        </w:rPr>
        <w:t>.</w:t>
      </w:r>
      <w:r w:rsidR="00915773">
        <w:rPr>
          <w:sz w:val="22"/>
          <w:szCs w:val="22"/>
        </w:rPr>
        <w:t xml:space="preserve"> </w:t>
      </w:r>
      <w:r w:rsidR="00F8594C">
        <w:rPr>
          <w:sz w:val="22"/>
          <w:szCs w:val="22"/>
        </w:rPr>
        <w:t>However, t</w:t>
      </w:r>
      <w:r w:rsidR="00FB5091">
        <w:rPr>
          <w:sz w:val="22"/>
          <w:szCs w:val="22"/>
        </w:rPr>
        <w:t>o</w:t>
      </w:r>
      <w:r w:rsidR="00260FB0">
        <w:rPr>
          <w:sz w:val="22"/>
          <w:szCs w:val="22"/>
        </w:rPr>
        <w:t xml:space="preserve"> obtain right eigen vectors of a channel matrix, UE does not need to perform SVD based on a corresponding Tx covariance matrix. </w:t>
      </w:r>
      <w:r w:rsidR="00FB5091">
        <w:rPr>
          <w:sz w:val="22"/>
          <w:szCs w:val="22"/>
        </w:rPr>
        <w:t>Instead, UE can perform SVD based on a corresponding Rx covariance matrix</w:t>
      </w:r>
      <w:r w:rsidR="00BF3ABC">
        <w:rPr>
          <w:sz w:val="22"/>
          <w:szCs w:val="22"/>
        </w:rPr>
        <w:t>:</w:t>
      </w:r>
    </w:p>
    <w:p w14:paraId="62519A2D" w14:textId="77777777" w:rsidR="00BF3ABC" w:rsidRDefault="00BF3ABC" w:rsidP="00A17182">
      <w:pPr>
        <w:rPr>
          <w:sz w:val="22"/>
          <w:szCs w:val="22"/>
        </w:rPr>
      </w:pPr>
    </w:p>
    <w:p w14:paraId="33D05F38" w14:textId="4469E17E" w:rsidR="00BF3ABC" w:rsidRDefault="00000000" w:rsidP="00BF3ABC">
      <w:pPr>
        <w:jc w:val="right"/>
        <w:rPr>
          <w:sz w:val="22"/>
          <w:szCs w:val="22"/>
        </w:rPr>
      </w:pP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rx</m:t>
            </m:r>
          </m:sub>
        </m:sSub>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H×H</m:t>
            </m:r>
          </m:e>
          <m:sup>
            <m:r>
              <w:rPr>
                <w:rFonts w:ascii="Cambria Math" w:hAnsi="Cambria Math"/>
                <w:sz w:val="22"/>
                <w:szCs w:val="22"/>
              </w:rPr>
              <m:t>H</m:t>
            </m:r>
          </m:sup>
        </m:sSup>
        <m:r>
          <w:rPr>
            <w:rFonts w:ascii="Cambria Math" w:hAnsi="Cambria Math"/>
            <w:sz w:val="22"/>
            <w:szCs w:val="22"/>
          </w:rPr>
          <m:t>=U×∑×</m:t>
        </m:r>
        <m:sSup>
          <m:sSupPr>
            <m:ctrlPr>
              <w:rPr>
                <w:rFonts w:ascii="Cambria Math" w:hAnsi="Cambria Math"/>
                <w:i/>
                <w:sz w:val="22"/>
                <w:szCs w:val="22"/>
              </w:rPr>
            </m:ctrlPr>
          </m:sSupPr>
          <m:e>
            <m:r>
              <w:rPr>
                <w:rFonts w:ascii="Cambria Math" w:hAnsi="Cambria Math"/>
                <w:sz w:val="22"/>
                <w:szCs w:val="22"/>
              </w:rPr>
              <m:t>U</m:t>
            </m:r>
          </m:e>
          <m:sup>
            <m:r>
              <w:rPr>
                <w:rFonts w:ascii="Cambria Math" w:hAnsi="Cambria Math"/>
                <w:sz w:val="22"/>
                <w:szCs w:val="22"/>
              </w:rPr>
              <m:t>H</m:t>
            </m:r>
          </m:sup>
        </m:sSup>
      </m:oMath>
      <w:r w:rsidR="00BF3ABC">
        <w:rPr>
          <w:sz w:val="22"/>
          <w:szCs w:val="22"/>
        </w:rPr>
        <w:t xml:space="preserve">                                                      (1)</w:t>
      </w:r>
    </w:p>
    <w:p w14:paraId="0FAE8D1F" w14:textId="77777777" w:rsidR="00F44E51" w:rsidRDefault="00F44E51" w:rsidP="00A17182">
      <w:pPr>
        <w:rPr>
          <w:sz w:val="22"/>
          <w:szCs w:val="22"/>
        </w:rPr>
      </w:pPr>
    </w:p>
    <w:p w14:paraId="65E5233C" w14:textId="71A6D3F7" w:rsidR="00F44E51" w:rsidRDefault="00BF3ABC" w:rsidP="00A17182">
      <w:pPr>
        <w:rPr>
          <w:sz w:val="22"/>
          <w:szCs w:val="22"/>
        </w:rPr>
      </w:pPr>
      <w:r>
        <w:rPr>
          <w:sz w:val="22"/>
          <w:szCs w:val="22"/>
        </w:rPr>
        <w:t xml:space="preserve">After obtaining the left eigen vectors in </w:t>
      </w:r>
      <m:oMath>
        <m:r>
          <w:rPr>
            <w:rFonts w:ascii="Cambria Math" w:hAnsi="Cambria Math"/>
            <w:sz w:val="22"/>
            <w:szCs w:val="22"/>
          </w:rPr>
          <m:t>U</m:t>
        </m:r>
      </m:oMath>
      <w:r>
        <w:rPr>
          <w:sz w:val="22"/>
          <w:szCs w:val="22"/>
        </w:rPr>
        <w:t>, UE can perform below operation to obtain right eigen vectors:</w:t>
      </w:r>
    </w:p>
    <w:p w14:paraId="39711CF0" w14:textId="2CB8555C" w:rsidR="00BF3ABC" w:rsidRDefault="00BF3ABC" w:rsidP="00BF3ABC">
      <w:pPr>
        <w:jc w:val="right"/>
        <w:rPr>
          <w:sz w:val="22"/>
          <w:szCs w:val="22"/>
        </w:rPr>
      </w:pPr>
      <m:oMath>
        <m:r>
          <w:rPr>
            <w:rFonts w:ascii="Cambria Math" w:hAnsi="Cambria Math"/>
            <w:sz w:val="22"/>
            <w:szCs w:val="22"/>
          </w:rPr>
          <w:lastRenderedPageBreak/>
          <m:t>V=</m:t>
        </m:r>
        <m:sSup>
          <m:sSupPr>
            <m:ctrlPr>
              <w:rPr>
                <w:rFonts w:ascii="Cambria Math" w:hAnsi="Cambria Math"/>
                <w:i/>
                <w:sz w:val="22"/>
                <w:szCs w:val="22"/>
              </w:rPr>
            </m:ctrlPr>
          </m:sSupPr>
          <m:e>
            <m:d>
              <m:dPr>
                <m:ctrlPr>
                  <w:rPr>
                    <w:rFonts w:ascii="Cambria Math" w:hAnsi="Cambria Math"/>
                    <w:i/>
                    <w:sz w:val="22"/>
                    <w:szCs w:val="22"/>
                  </w:rPr>
                </m:ctrlPr>
              </m:dPr>
              <m:e>
                <m:sSup>
                  <m:sSupPr>
                    <m:ctrlPr>
                      <w:rPr>
                        <w:rFonts w:ascii="Cambria Math" w:hAnsi="Cambria Math"/>
                        <w:i/>
                        <w:sz w:val="22"/>
                        <w:szCs w:val="22"/>
                      </w:rPr>
                    </m:ctrlPr>
                  </m:sSupPr>
                  <m:e>
                    <m:r>
                      <w:rPr>
                        <w:rFonts w:ascii="Cambria Math" w:hAnsi="Cambria Math"/>
                        <w:sz w:val="22"/>
                        <w:szCs w:val="22"/>
                      </w:rPr>
                      <m:t>∑</m:t>
                    </m:r>
                  </m:e>
                  <m:sup>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2</m:t>
                        </m:r>
                      </m:den>
                    </m:f>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U</m:t>
                    </m:r>
                  </m:e>
                  <m:sup>
                    <m:r>
                      <w:rPr>
                        <w:rFonts w:ascii="Cambria Math" w:hAnsi="Cambria Math"/>
                        <w:sz w:val="22"/>
                        <w:szCs w:val="22"/>
                      </w:rPr>
                      <m:t>H</m:t>
                    </m:r>
                  </m:sup>
                </m:sSup>
                <m:r>
                  <w:rPr>
                    <w:rFonts w:ascii="Cambria Math" w:hAnsi="Cambria Math"/>
                    <w:sz w:val="22"/>
                    <w:szCs w:val="22"/>
                  </w:rPr>
                  <m:t>×H</m:t>
                </m:r>
              </m:e>
            </m:d>
          </m:e>
          <m:sup>
            <m:r>
              <w:rPr>
                <w:rFonts w:ascii="Cambria Math" w:hAnsi="Cambria Math"/>
                <w:sz w:val="22"/>
                <w:szCs w:val="22"/>
              </w:rPr>
              <m:t>H</m:t>
            </m:r>
          </m:sup>
        </m:sSup>
      </m:oMath>
      <w:r>
        <w:rPr>
          <w:sz w:val="22"/>
          <w:szCs w:val="22"/>
        </w:rPr>
        <w:t xml:space="preserve">                                                               (2)</w:t>
      </w:r>
    </w:p>
    <w:p w14:paraId="47A8F9B8" w14:textId="77777777" w:rsidR="008A4D7C" w:rsidRDefault="008A4D7C" w:rsidP="00A17182">
      <w:pPr>
        <w:rPr>
          <w:sz w:val="22"/>
          <w:szCs w:val="22"/>
        </w:rPr>
      </w:pPr>
    </w:p>
    <w:p w14:paraId="2DB287E0" w14:textId="5F1B3F3B" w:rsidR="00732DB3" w:rsidRDefault="00732DB3" w:rsidP="00A17182">
      <w:pPr>
        <w:rPr>
          <w:sz w:val="22"/>
          <w:szCs w:val="22"/>
        </w:rPr>
      </w:pPr>
      <w:r>
        <w:rPr>
          <w:sz w:val="22"/>
          <w:szCs w:val="22"/>
        </w:rPr>
        <w:t xml:space="preserve">The complexity to obtain </w:t>
      </w:r>
      <w:r w:rsidR="00C57D86">
        <w:rPr>
          <w:sz w:val="22"/>
          <w:szCs w:val="22"/>
        </w:rPr>
        <w:t xml:space="preserve">Tx </w:t>
      </w:r>
      <w:r>
        <w:rPr>
          <w:sz w:val="22"/>
          <w:szCs w:val="22"/>
        </w:rPr>
        <w:t xml:space="preserve">eigen beams are much reduced comparing to SVD operation on </w:t>
      </w:r>
      <w:r w:rsidR="00071EA8">
        <w:rPr>
          <w:sz w:val="22"/>
          <w:szCs w:val="22"/>
        </w:rPr>
        <w:t xml:space="preserve">a </w:t>
      </w:r>
      <w:r>
        <w:rPr>
          <w:sz w:val="22"/>
          <w:szCs w:val="22"/>
        </w:rPr>
        <w:t>Tx covariance matrix.</w:t>
      </w:r>
      <w:r w:rsidR="00F4178F">
        <w:rPr>
          <w:sz w:val="22"/>
          <w:szCs w:val="22"/>
        </w:rPr>
        <w:t xml:space="preserve"> There may be other ways to further reduce complexity of obtaining right eigen vectors.</w:t>
      </w:r>
    </w:p>
    <w:p w14:paraId="53C30D73" w14:textId="77777777" w:rsidR="00732DB3" w:rsidRDefault="00732DB3" w:rsidP="00A17182">
      <w:pPr>
        <w:rPr>
          <w:sz w:val="22"/>
          <w:szCs w:val="22"/>
        </w:rPr>
      </w:pPr>
    </w:p>
    <w:p w14:paraId="2BD73238" w14:textId="378A4A07" w:rsidR="00AF419B" w:rsidRDefault="00AF419B" w:rsidP="00AF419B">
      <w:pPr>
        <w:rPr>
          <w:sz w:val="22"/>
          <w:szCs w:val="22"/>
        </w:rPr>
      </w:pPr>
      <w:r>
        <w:rPr>
          <w:b/>
          <w:bCs/>
          <w:color w:val="000000" w:themeColor="text1"/>
          <w:sz w:val="22"/>
          <w:szCs w:val="22"/>
        </w:rPr>
        <w:t>Observation</w:t>
      </w:r>
      <w:r w:rsidRPr="00F92B76">
        <w:rPr>
          <w:b/>
          <w:bCs/>
          <w:color w:val="000000" w:themeColor="text1"/>
          <w:sz w:val="22"/>
          <w:szCs w:val="22"/>
        </w:rPr>
        <w:t xml:space="preserve"> </w:t>
      </w:r>
      <w:r>
        <w:rPr>
          <w:b/>
          <w:bCs/>
          <w:color w:val="000000" w:themeColor="text1"/>
          <w:sz w:val="22"/>
          <w:szCs w:val="22"/>
        </w:rPr>
        <w:t>1</w:t>
      </w:r>
      <w:r w:rsidRPr="00F92B76">
        <w:rPr>
          <w:b/>
          <w:bCs/>
          <w:color w:val="000000" w:themeColor="text1"/>
          <w:sz w:val="22"/>
          <w:szCs w:val="22"/>
        </w:rPr>
        <w:t>: For</w:t>
      </w:r>
      <w:r>
        <w:rPr>
          <w:b/>
          <w:bCs/>
          <w:color w:val="000000" w:themeColor="text1"/>
          <w:sz w:val="22"/>
          <w:szCs w:val="22"/>
        </w:rPr>
        <w:t xml:space="preserve"> NW side data collection, </w:t>
      </w:r>
      <w:r w:rsidR="00EE160B">
        <w:rPr>
          <w:b/>
          <w:bCs/>
          <w:color w:val="000000" w:themeColor="text1"/>
          <w:sz w:val="22"/>
          <w:szCs w:val="22"/>
        </w:rPr>
        <w:t xml:space="preserve">the complexity to obtain Tx eigen vectors are much lower than </w:t>
      </w:r>
      <w:r w:rsidR="007F70FC">
        <w:rPr>
          <w:b/>
          <w:bCs/>
          <w:color w:val="000000" w:themeColor="text1"/>
          <w:sz w:val="22"/>
          <w:szCs w:val="22"/>
        </w:rPr>
        <w:t xml:space="preserve">the complexity of SVD operation on </w:t>
      </w:r>
      <w:r w:rsidR="006C7CC9">
        <w:rPr>
          <w:b/>
          <w:bCs/>
          <w:color w:val="000000" w:themeColor="text1"/>
          <w:sz w:val="22"/>
          <w:szCs w:val="22"/>
        </w:rPr>
        <w:t xml:space="preserve">a </w:t>
      </w:r>
      <w:r w:rsidR="007F70FC">
        <w:rPr>
          <w:b/>
          <w:bCs/>
          <w:color w:val="000000" w:themeColor="text1"/>
          <w:sz w:val="22"/>
          <w:szCs w:val="22"/>
        </w:rPr>
        <w:t xml:space="preserve">Tx </w:t>
      </w:r>
      <w:r w:rsidR="00D235FE">
        <w:rPr>
          <w:b/>
          <w:bCs/>
          <w:color w:val="000000" w:themeColor="text1"/>
          <w:sz w:val="22"/>
          <w:szCs w:val="22"/>
        </w:rPr>
        <w:t>covariance</w:t>
      </w:r>
      <w:r w:rsidR="007F70FC">
        <w:rPr>
          <w:b/>
          <w:bCs/>
          <w:color w:val="000000" w:themeColor="text1"/>
          <w:sz w:val="22"/>
          <w:szCs w:val="22"/>
        </w:rPr>
        <w:t xml:space="preserve"> matrix</w:t>
      </w:r>
      <w:r w:rsidR="00EE160B">
        <w:rPr>
          <w:b/>
          <w:bCs/>
          <w:color w:val="000000" w:themeColor="text1"/>
          <w:sz w:val="22"/>
          <w:szCs w:val="22"/>
        </w:rPr>
        <w:t>.</w:t>
      </w:r>
    </w:p>
    <w:p w14:paraId="1F9C18F2" w14:textId="77777777" w:rsidR="00AF419B" w:rsidRDefault="00AF419B" w:rsidP="00A17182">
      <w:pPr>
        <w:rPr>
          <w:sz w:val="22"/>
          <w:szCs w:val="22"/>
        </w:rPr>
      </w:pPr>
    </w:p>
    <w:p w14:paraId="4C96BC34" w14:textId="2F447834" w:rsidR="006C2AE2" w:rsidRDefault="00ED6C14" w:rsidP="00ED6C14">
      <w:pPr>
        <w:rPr>
          <w:i/>
          <w:iCs/>
          <w:sz w:val="22"/>
          <w:szCs w:val="22"/>
          <w:u w:val="single"/>
        </w:rPr>
      </w:pPr>
      <w:r w:rsidRPr="00B23E81">
        <w:rPr>
          <w:i/>
          <w:iCs/>
          <w:sz w:val="22"/>
          <w:szCs w:val="22"/>
          <w:u w:val="single"/>
        </w:rPr>
        <w:t>NW side data collection</w:t>
      </w:r>
      <w:r>
        <w:rPr>
          <w:i/>
          <w:iCs/>
          <w:sz w:val="22"/>
          <w:szCs w:val="22"/>
          <w:u w:val="single"/>
        </w:rPr>
        <w:t xml:space="preserve"> based on </w:t>
      </w:r>
      <w:r w:rsidR="00751713">
        <w:rPr>
          <w:i/>
          <w:iCs/>
          <w:sz w:val="22"/>
          <w:szCs w:val="22"/>
          <w:u w:val="single"/>
        </w:rPr>
        <w:t>scalar quantization</w:t>
      </w:r>
      <w:r w:rsidRPr="00B23E81">
        <w:rPr>
          <w:i/>
          <w:iCs/>
          <w:sz w:val="22"/>
          <w:szCs w:val="22"/>
          <w:u w:val="single"/>
        </w:rPr>
        <w:t>:</w:t>
      </w:r>
    </w:p>
    <w:p w14:paraId="539BD1D5" w14:textId="77777777" w:rsidR="006C2AE2" w:rsidRDefault="006C2AE2" w:rsidP="00ED6C14">
      <w:pPr>
        <w:rPr>
          <w:sz w:val="22"/>
          <w:szCs w:val="22"/>
        </w:rPr>
      </w:pPr>
      <w:r>
        <w:rPr>
          <w:sz w:val="22"/>
          <w:szCs w:val="22"/>
        </w:rPr>
        <w:t xml:space="preserve"> </w:t>
      </w:r>
    </w:p>
    <w:p w14:paraId="36875FAC" w14:textId="2DF054EC" w:rsidR="00ED6C14" w:rsidRDefault="006C2AE2" w:rsidP="00ED6C14">
      <w:pPr>
        <w:rPr>
          <w:i/>
          <w:iCs/>
          <w:sz w:val="22"/>
          <w:szCs w:val="22"/>
          <w:u w:val="single"/>
        </w:rPr>
      </w:pPr>
      <w:r>
        <w:rPr>
          <w:sz w:val="22"/>
          <w:szCs w:val="22"/>
        </w:rPr>
        <w:t>For NW side data collection based on Option 1, RAN1 # 122b further agrees below assumptions to further narrow down quantization parameters.</w:t>
      </w:r>
    </w:p>
    <w:p w14:paraId="4D6F7CF5" w14:textId="552E2871" w:rsidR="00B778CD" w:rsidRDefault="00B778CD" w:rsidP="00A17182">
      <w:pPr>
        <w:rPr>
          <w:sz w:val="22"/>
          <w:szCs w:val="22"/>
        </w:rPr>
      </w:pPr>
      <w:r>
        <w:rPr>
          <w:noProof/>
          <w:sz w:val="22"/>
          <w:szCs w:val="22"/>
        </w:rPr>
        <mc:AlternateContent>
          <mc:Choice Requires="wps">
            <w:drawing>
              <wp:anchor distT="0" distB="0" distL="114300" distR="114300" simplePos="0" relativeHeight="251665408" behindDoc="0" locked="0" layoutInCell="1" allowOverlap="1" wp14:anchorId="66D26BA3" wp14:editId="255A4968">
                <wp:simplePos x="0" y="0"/>
                <wp:positionH relativeFrom="column">
                  <wp:posOffset>18598</wp:posOffset>
                </wp:positionH>
                <wp:positionV relativeFrom="paragraph">
                  <wp:posOffset>103635</wp:posOffset>
                </wp:positionV>
                <wp:extent cx="5671838" cy="3710294"/>
                <wp:effectExtent l="0" t="0" r="17780" b="11430"/>
                <wp:wrapNone/>
                <wp:docPr id="1209548940" name="Text Box 3"/>
                <wp:cNvGraphicFramePr/>
                <a:graphic xmlns:a="http://schemas.openxmlformats.org/drawingml/2006/main">
                  <a:graphicData uri="http://schemas.microsoft.com/office/word/2010/wordprocessingShape">
                    <wps:wsp>
                      <wps:cNvSpPr txBox="1"/>
                      <wps:spPr>
                        <a:xfrm>
                          <a:off x="0" y="0"/>
                          <a:ext cx="5671838" cy="3710294"/>
                        </a:xfrm>
                        <a:prstGeom prst="rect">
                          <a:avLst/>
                        </a:prstGeom>
                        <a:solidFill>
                          <a:schemeClr val="lt1"/>
                        </a:solidFill>
                        <a:ln w="6350">
                          <a:solidFill>
                            <a:prstClr val="black"/>
                          </a:solidFill>
                        </a:ln>
                      </wps:spPr>
                      <wps:txbx>
                        <w:txbxContent>
                          <w:p w14:paraId="1956BB94" w14:textId="77777777" w:rsidR="008A4D7C" w:rsidRPr="008A4D7C" w:rsidRDefault="008A4D7C" w:rsidP="008A4D7C">
                            <w:pPr>
                              <w:rPr>
                                <w:rFonts w:eastAsia="DengXian"/>
                                <w:sz w:val="22"/>
                                <w:szCs w:val="22"/>
                              </w:rPr>
                            </w:pPr>
                            <w:r w:rsidRPr="008A4D7C">
                              <w:rPr>
                                <w:rFonts w:eastAsia="DengXian"/>
                                <w:sz w:val="22"/>
                                <w:szCs w:val="22"/>
                                <w:highlight w:val="green"/>
                              </w:rPr>
                              <w:t>Agreement:</w:t>
                            </w:r>
                          </w:p>
                          <w:p w14:paraId="2F66CC7F" w14:textId="77777777" w:rsidR="008A4D7C" w:rsidRPr="008A4D7C" w:rsidRDefault="008A4D7C" w:rsidP="008A4D7C">
                            <w:pPr>
                              <w:tabs>
                                <w:tab w:val="left" w:pos="576"/>
                              </w:tabs>
                              <w:overflowPunct w:val="0"/>
                              <w:textAlignment w:val="baseline"/>
                              <w:rPr>
                                <w:i/>
                                <w:sz w:val="22"/>
                                <w:szCs w:val="22"/>
                              </w:rPr>
                            </w:pPr>
                            <w:r w:rsidRPr="008A4D7C">
                              <w:rPr>
                                <w:sz w:val="22"/>
                                <w:szCs w:val="22"/>
                              </w:rPr>
                              <w:t>For NW side data collection with higher layer reporting, for further study of Option 1 (scalar quantization), consider the following definition for evaluation:</w:t>
                            </w:r>
                          </w:p>
                          <w:p w14:paraId="15BFF2AA" w14:textId="77777777" w:rsidR="008A4D7C" w:rsidRPr="008A4D7C" w:rsidRDefault="008A4D7C" w:rsidP="008A4D7C">
                            <w:pPr>
                              <w:pStyle w:val="ListParagraph"/>
                              <w:numPr>
                                <w:ilvl w:val="0"/>
                                <w:numId w:val="64"/>
                              </w:numPr>
                              <w:suppressAutoHyphens/>
                              <w:snapToGrid w:val="0"/>
                              <w:spacing w:after="120"/>
                              <w:ind w:leftChars="0"/>
                              <w:jc w:val="both"/>
                              <w:rPr>
                                <w:rFonts w:ascii="Times New Roman" w:eastAsia="Malgun Gothic" w:hAnsi="Times New Roman"/>
                                <w:bCs/>
                                <w:iCs/>
                                <w:sz w:val="22"/>
                                <w:szCs w:val="22"/>
                              </w:rPr>
                            </w:pPr>
                            <w:r w:rsidRPr="008A4D7C">
                              <w:rPr>
                                <w:rFonts w:ascii="Times New Roman" w:hAnsi="Times New Roman"/>
                                <w:b/>
                                <w:sz w:val="22"/>
                                <w:szCs w:val="22"/>
                              </w:rPr>
                              <w:t>Content</w:t>
                            </w:r>
                            <w:r w:rsidRPr="008A4D7C">
                              <w:rPr>
                                <w:rFonts w:ascii="Times New Roman" w:hAnsi="Times New Roman"/>
                                <w:sz w:val="22"/>
                                <w:szCs w:val="22"/>
                              </w:rPr>
                              <w:t>: for a number of S=1 (as baseline) Target CSI samples each with the dimensions of 2N</w:t>
                            </w:r>
                            <w:r w:rsidRPr="008A4D7C">
                              <w:rPr>
                                <w:rFonts w:ascii="Times New Roman" w:hAnsi="Times New Roman"/>
                                <w:sz w:val="22"/>
                                <w:szCs w:val="22"/>
                                <w:vertAlign w:val="subscript"/>
                              </w:rPr>
                              <w:t>1</w:t>
                            </w:r>
                            <w:r w:rsidRPr="008A4D7C">
                              <w:rPr>
                                <w:rFonts w:ascii="Times New Roman" w:hAnsi="Times New Roman"/>
                                <w:sz w:val="22"/>
                                <w:szCs w:val="22"/>
                              </w:rPr>
                              <w:t>N</w:t>
                            </w:r>
                            <w:r w:rsidRPr="008A4D7C">
                              <w:rPr>
                                <w:rFonts w:ascii="Times New Roman" w:hAnsi="Times New Roman"/>
                                <w:sz w:val="22"/>
                                <w:szCs w:val="22"/>
                                <w:vertAlign w:val="subscript"/>
                              </w:rPr>
                              <w:t>2</w:t>
                            </w:r>
                            <w:r w:rsidRPr="008A4D7C">
                              <w:rPr>
                                <w:rFonts w:ascii="Times New Roman" w:hAnsi="Times New Roman"/>
                                <w:sz w:val="22"/>
                                <w:szCs w:val="22"/>
                              </w:rPr>
                              <w:t xml:space="preserve"> ports, N</w:t>
                            </w:r>
                            <w:r w:rsidRPr="008A4D7C">
                              <w:rPr>
                                <w:rFonts w:ascii="Times New Roman" w:hAnsi="Times New Roman"/>
                                <w:sz w:val="22"/>
                                <w:szCs w:val="22"/>
                                <w:vertAlign w:val="subscript"/>
                              </w:rPr>
                              <w:t>3</w:t>
                            </w:r>
                            <w:r w:rsidRPr="008A4D7C">
                              <w:rPr>
                                <w:rFonts w:ascii="Times New Roman" w:hAnsi="Times New Roman"/>
                                <w:sz w:val="22"/>
                                <w:szCs w:val="22"/>
                              </w:rPr>
                              <w:t xml:space="preserve"> </w:t>
                            </w:r>
                            <w:r w:rsidRPr="008A4D7C">
                              <w:rPr>
                                <w:rFonts w:ascii="Times New Roman" w:hAnsi="Times New Roman"/>
                                <w:sz w:val="22"/>
                                <w:szCs w:val="22"/>
                              </w:rPr>
                              <w:t xml:space="preserve">subbands, </w:t>
                            </w:r>
                            <w:r w:rsidRPr="008A4D7C">
                              <w:rPr>
                                <w:rFonts w:ascii="Times New Roman" w:hAnsi="Times New Roman"/>
                                <w:i/>
                                <w:sz w:val="22"/>
                                <w:szCs w:val="22"/>
                              </w:rPr>
                              <w:t>v</w:t>
                            </w:r>
                            <w:r w:rsidRPr="008A4D7C">
                              <w:rPr>
                                <w:rFonts w:ascii="Times New Roman" w:hAnsi="Times New Roman"/>
                                <w:sz w:val="22"/>
                                <w:szCs w:val="22"/>
                              </w:rPr>
                              <w:t xml:space="preserve"> layers for precoding matrix, and real+imaginary (or amplitude+phase) parts, which has overall 2N</w:t>
                            </w:r>
                            <w:r w:rsidRPr="008A4D7C">
                              <w:rPr>
                                <w:rFonts w:ascii="Times New Roman" w:hAnsi="Times New Roman"/>
                                <w:sz w:val="22"/>
                                <w:szCs w:val="22"/>
                                <w:vertAlign w:val="subscript"/>
                              </w:rPr>
                              <w:t>1</w:t>
                            </w:r>
                            <w:r w:rsidRPr="008A4D7C">
                              <w:rPr>
                                <w:rFonts w:ascii="Times New Roman" w:hAnsi="Times New Roman"/>
                                <w:sz w:val="22"/>
                                <w:szCs w:val="22"/>
                              </w:rPr>
                              <w:t>N</w:t>
                            </w:r>
                            <w:r w:rsidRPr="008A4D7C">
                              <w:rPr>
                                <w:rFonts w:ascii="Times New Roman" w:hAnsi="Times New Roman"/>
                                <w:sz w:val="22"/>
                                <w:szCs w:val="22"/>
                                <w:vertAlign w:val="subscript"/>
                              </w:rPr>
                              <w:t>2</w:t>
                            </w:r>
                            <w:r w:rsidRPr="008A4D7C">
                              <w:rPr>
                                <w:rFonts w:ascii="Times New Roman" w:hAnsi="Times New Roman"/>
                                <w:sz w:val="22"/>
                                <w:szCs w:val="22"/>
                              </w:rPr>
                              <w:t>*N</w:t>
                            </w:r>
                            <w:r w:rsidRPr="008A4D7C">
                              <w:rPr>
                                <w:rFonts w:ascii="Times New Roman" w:hAnsi="Times New Roman"/>
                                <w:sz w:val="22"/>
                                <w:szCs w:val="22"/>
                                <w:vertAlign w:val="subscript"/>
                              </w:rPr>
                              <w:t>3</w:t>
                            </w:r>
                            <w:r w:rsidRPr="008A4D7C">
                              <w:rPr>
                                <w:rFonts w:ascii="Times New Roman" w:hAnsi="Times New Roman"/>
                                <w:sz w:val="22"/>
                                <w:szCs w:val="22"/>
                              </w:rPr>
                              <w:t>*</w:t>
                            </w:r>
                            <w:r w:rsidRPr="008A4D7C">
                              <w:rPr>
                                <w:rFonts w:ascii="Times New Roman" w:hAnsi="Times New Roman"/>
                                <w:i/>
                                <w:sz w:val="22"/>
                                <w:szCs w:val="22"/>
                              </w:rPr>
                              <w:t>v</w:t>
                            </w:r>
                            <w:r w:rsidRPr="008A4D7C">
                              <w:rPr>
                                <w:rFonts w:ascii="Times New Roman" w:hAnsi="Times New Roman"/>
                                <w:sz w:val="22"/>
                                <w:szCs w:val="22"/>
                              </w:rPr>
                              <w:t xml:space="preserve"> complex elements, and any complex element has a real (or amplitude) part of </w:t>
                            </w:r>
                            <w:r w:rsidRPr="008A4D7C">
                              <w:rPr>
                                <w:rFonts w:ascii="Times New Roman" w:hAnsi="Times New Roman"/>
                                <w:i/>
                                <w:sz w:val="22"/>
                                <w:szCs w:val="22"/>
                              </w:rPr>
                              <w:t>x1</w:t>
                            </w:r>
                            <w:r w:rsidRPr="008A4D7C">
                              <w:rPr>
                                <w:rFonts w:ascii="Times New Roman" w:hAnsi="Times New Roman"/>
                                <w:sz w:val="22"/>
                                <w:szCs w:val="22"/>
                              </w:rPr>
                              <w:t xml:space="preserve"> and an imaginary (or phase) part of </w:t>
                            </w:r>
                            <w:r w:rsidRPr="008A4D7C">
                              <w:rPr>
                                <w:rFonts w:ascii="Times New Roman" w:hAnsi="Times New Roman"/>
                                <w:i/>
                                <w:sz w:val="22"/>
                                <w:szCs w:val="22"/>
                              </w:rPr>
                              <w:t>x2</w:t>
                            </w:r>
                            <w:r w:rsidRPr="008A4D7C">
                              <w:rPr>
                                <w:rFonts w:ascii="Times New Roman" w:hAnsi="Times New Roman"/>
                                <w:sz w:val="22"/>
                                <w:szCs w:val="22"/>
                              </w:rPr>
                              <w:t>.</w:t>
                            </w:r>
                          </w:p>
                          <w:p w14:paraId="7FCD2504" w14:textId="77777777" w:rsidR="008A4D7C" w:rsidRPr="008574F9" w:rsidRDefault="008A4D7C" w:rsidP="008A4D7C">
                            <w:pPr>
                              <w:pStyle w:val="ListParagraph"/>
                              <w:numPr>
                                <w:ilvl w:val="1"/>
                                <w:numId w:val="64"/>
                              </w:numPr>
                              <w:suppressAutoHyphens/>
                              <w:snapToGrid w:val="0"/>
                              <w:spacing w:after="120"/>
                              <w:ind w:leftChars="0" w:left="780" w:hanging="360"/>
                              <w:jc w:val="both"/>
                              <w:rPr>
                                <w:rFonts w:eastAsia="Malgun Gothic"/>
                                <w:bCs/>
                                <w:iCs/>
                              </w:rPr>
                            </w:pPr>
                            <w:r w:rsidRPr="008A4D7C">
                              <w:rPr>
                                <w:rFonts w:ascii="Times New Roman" w:eastAsiaTheme="minorEastAsia" w:hAnsi="Times New Roman"/>
                                <w:bCs/>
                                <w:iCs/>
                                <w:sz w:val="22"/>
                                <w:szCs w:val="22"/>
                              </w:rPr>
                              <w:t xml:space="preserve">Note: Companies to report </w:t>
                            </w:r>
                            <w:r w:rsidRPr="008A4D7C">
                              <w:rPr>
                                <w:rFonts w:ascii="Times New Roman" w:eastAsiaTheme="minorEastAsia" w:hAnsi="Times New Roman"/>
                                <w:bCs/>
                                <w:iCs/>
                                <w:sz w:val="22"/>
                                <w:szCs w:val="22"/>
                              </w:rPr>
                              <w:t xml:space="preserve">whether  real value and imaginary value are quantized, or </w:t>
                            </w:r>
                            <w:r w:rsidRPr="008A4D7C">
                              <w:rPr>
                                <w:rFonts w:ascii="Times New Roman" w:hAnsi="Times New Roman"/>
                                <w:sz w:val="22"/>
                                <w:szCs w:val="22"/>
                              </w:rPr>
                              <w:t xml:space="preserve">amplitude </w:t>
                            </w:r>
                            <w:r w:rsidRPr="008574F9">
                              <w:rPr>
                                <w:rFonts w:eastAsiaTheme="minorEastAsia"/>
                                <w:bCs/>
                                <w:iCs/>
                              </w:rPr>
                              <w:t xml:space="preserve">value and </w:t>
                            </w:r>
                            <w:r w:rsidRPr="008574F9">
                              <w:t xml:space="preserve">phase </w:t>
                            </w:r>
                            <w:r w:rsidRPr="008574F9">
                              <w:rPr>
                                <w:rFonts w:eastAsiaTheme="minorEastAsia"/>
                                <w:bCs/>
                                <w:iCs/>
                              </w:rPr>
                              <w:t>value are quantized.</w:t>
                            </w:r>
                          </w:p>
                          <w:p w14:paraId="7C1212AB" w14:textId="77777777" w:rsidR="008A4D7C" w:rsidRPr="008574F9" w:rsidRDefault="008A4D7C" w:rsidP="008A4D7C">
                            <w:pPr>
                              <w:pStyle w:val="ListParagraph"/>
                              <w:numPr>
                                <w:ilvl w:val="0"/>
                                <w:numId w:val="64"/>
                              </w:numPr>
                              <w:suppressAutoHyphens/>
                              <w:snapToGrid w:val="0"/>
                              <w:spacing w:after="120"/>
                              <w:ind w:leftChars="0"/>
                              <w:jc w:val="both"/>
                              <w:rPr>
                                <w:rFonts w:eastAsia="Malgun Gothic"/>
                                <w:bCs/>
                                <w:iCs/>
                              </w:rPr>
                            </w:pPr>
                            <w:r w:rsidRPr="008574F9">
                              <w:rPr>
                                <w:rFonts w:eastAsiaTheme="minorEastAsia" w:hint="eastAsia"/>
                                <w:b/>
                                <w:bCs/>
                                <w:iCs/>
                              </w:rPr>
                              <w:t>F</w:t>
                            </w:r>
                            <w:r w:rsidRPr="008574F9">
                              <w:rPr>
                                <w:rFonts w:eastAsiaTheme="minorEastAsia"/>
                                <w:b/>
                                <w:bCs/>
                                <w:iCs/>
                              </w:rPr>
                              <w:t>ormat</w:t>
                            </w:r>
                            <w:r w:rsidRPr="008574F9">
                              <w:rPr>
                                <w:rFonts w:eastAsiaTheme="minorEastAsia"/>
                                <w:bCs/>
                                <w:iCs/>
                              </w:rPr>
                              <w:t xml:space="preserve">: </w:t>
                            </w:r>
                            <w:r w:rsidRPr="008574F9">
                              <w:rPr>
                                <w:i/>
                              </w:rPr>
                              <w:t>x1</w:t>
                            </w:r>
                            <w:r w:rsidRPr="008574F9">
                              <w:t xml:space="preserve"> </w:t>
                            </w:r>
                            <w:r w:rsidRPr="008574F9">
                              <w:rPr>
                                <w:rFonts w:eastAsiaTheme="minorEastAsia"/>
                                <w:bCs/>
                                <w:iCs/>
                              </w:rPr>
                              <w:t xml:space="preserve">is quantized to k1 bits within range of </w:t>
                            </w:r>
                            <w:r w:rsidRPr="008574F9">
                              <w:t>[T1</w:t>
                            </w:r>
                            <w:r w:rsidRPr="008574F9">
                              <w:rPr>
                                <w:vertAlign w:val="subscript"/>
                              </w:rPr>
                              <w:t>min</w:t>
                            </w:r>
                            <w:r w:rsidRPr="008574F9">
                              <w:t>, T1</w:t>
                            </w:r>
                            <w:r w:rsidRPr="008574F9">
                              <w:rPr>
                                <w:vertAlign w:val="subscript"/>
                              </w:rPr>
                              <w:t>max</w:t>
                            </w:r>
                            <w:r w:rsidRPr="008574F9">
                              <w:t>],</w:t>
                            </w:r>
                            <w:r w:rsidRPr="008574F9">
                              <w:rPr>
                                <w:rFonts w:eastAsiaTheme="minorEastAsia"/>
                                <w:bCs/>
                                <w:iCs/>
                              </w:rPr>
                              <w:t xml:space="preserve"> and </w:t>
                            </w:r>
                            <w:r w:rsidRPr="008574F9">
                              <w:rPr>
                                <w:i/>
                              </w:rPr>
                              <w:t>x2</w:t>
                            </w:r>
                            <w:r w:rsidRPr="008574F9">
                              <w:rPr>
                                <w:rFonts w:eastAsiaTheme="minorEastAsia"/>
                                <w:bCs/>
                                <w:iCs/>
                              </w:rPr>
                              <w:t xml:space="preserve"> is quantized to k2 bits within range of </w:t>
                            </w:r>
                            <w:r w:rsidRPr="008574F9">
                              <w:t>[T2</w:t>
                            </w:r>
                            <w:r w:rsidRPr="008574F9">
                              <w:rPr>
                                <w:vertAlign w:val="subscript"/>
                              </w:rPr>
                              <w:t>min</w:t>
                            </w:r>
                            <w:r w:rsidRPr="008574F9">
                              <w:t>, T2</w:t>
                            </w:r>
                            <w:r w:rsidRPr="008574F9">
                              <w:rPr>
                                <w:vertAlign w:val="subscript"/>
                              </w:rPr>
                              <w:t>max</w:t>
                            </w:r>
                            <w:r w:rsidRPr="008574F9">
                              <w:t>].</w:t>
                            </w:r>
                            <w:r w:rsidRPr="008574F9">
                              <w:rPr>
                                <w:rFonts w:eastAsiaTheme="minorEastAsia"/>
                                <w:bCs/>
                                <w:iCs/>
                              </w:rPr>
                              <w:t xml:space="preserve"> E.g., for Scalar8, k1=8 bits for quantizing the real part, and k2=8 bits for quantizing the imaginary part. Uniform quantization is assumed.</w:t>
                            </w:r>
                          </w:p>
                          <w:p w14:paraId="5C6332DD" w14:textId="77777777" w:rsidR="008A4D7C" w:rsidRPr="008574F9" w:rsidRDefault="008A4D7C" w:rsidP="008A4D7C">
                            <w:pPr>
                              <w:pStyle w:val="ListParagraph"/>
                              <w:numPr>
                                <w:ilvl w:val="1"/>
                                <w:numId w:val="64"/>
                              </w:numPr>
                              <w:suppressAutoHyphens/>
                              <w:snapToGrid w:val="0"/>
                              <w:spacing w:after="120"/>
                              <w:ind w:leftChars="0" w:left="780" w:hanging="360"/>
                              <w:jc w:val="both"/>
                              <w:rPr>
                                <w:rFonts w:eastAsia="Malgun Gothic"/>
                                <w:bCs/>
                                <w:iCs/>
                              </w:rPr>
                            </w:pPr>
                            <w:r w:rsidRPr="008574F9">
                              <w:rPr>
                                <w:rFonts w:eastAsiaTheme="minorEastAsia"/>
                                <w:bCs/>
                                <w:iCs/>
                              </w:rPr>
                              <w:t>Note: Companies to report whether/how the normalization is performed, and whether it is normalized within or across</w:t>
                            </w:r>
                            <w:r w:rsidRPr="008574F9">
                              <w:t xml:space="preserve"> 2N</w:t>
                            </w:r>
                            <w:r w:rsidRPr="008574F9">
                              <w:rPr>
                                <w:vertAlign w:val="subscript"/>
                              </w:rPr>
                              <w:t>1</w:t>
                            </w:r>
                            <w:r w:rsidRPr="008574F9">
                              <w:t>N</w:t>
                            </w:r>
                            <w:r w:rsidRPr="008574F9">
                              <w:rPr>
                                <w:vertAlign w:val="subscript"/>
                              </w:rPr>
                              <w:t>2</w:t>
                            </w:r>
                            <w:r w:rsidRPr="008574F9">
                              <w:t xml:space="preserve"> ports/</w:t>
                            </w:r>
                            <w:r w:rsidRPr="008574F9">
                              <w:rPr>
                                <w:rFonts w:hint="eastAsia"/>
                              </w:rPr>
                              <w:t xml:space="preserve"> N</w:t>
                            </w:r>
                            <w:r w:rsidRPr="008574F9">
                              <w:rPr>
                                <w:rFonts w:hint="eastAsia"/>
                                <w:vertAlign w:val="subscript"/>
                              </w:rPr>
                              <w:t>3</w:t>
                            </w:r>
                            <w:r w:rsidRPr="008574F9">
                              <w:t xml:space="preserve"> subbands/ </w:t>
                            </w:r>
                            <w:r w:rsidRPr="008574F9">
                              <w:rPr>
                                <w:i/>
                              </w:rPr>
                              <w:t>v</w:t>
                            </w:r>
                            <w:r w:rsidRPr="008574F9">
                              <w:t xml:space="preserve"> layers/ real and imaginary (or amplitude and phase) parts.</w:t>
                            </w:r>
                          </w:p>
                          <w:p w14:paraId="64A33527" w14:textId="77777777" w:rsidR="008A4D7C" w:rsidRPr="008574F9" w:rsidRDefault="008A4D7C" w:rsidP="008A4D7C">
                            <w:pPr>
                              <w:pStyle w:val="ListParagraph"/>
                              <w:numPr>
                                <w:ilvl w:val="0"/>
                                <w:numId w:val="64"/>
                              </w:numPr>
                              <w:suppressAutoHyphens/>
                              <w:snapToGrid w:val="0"/>
                              <w:spacing w:after="120"/>
                              <w:ind w:leftChars="0"/>
                              <w:jc w:val="both"/>
                              <w:rPr>
                                <w:rFonts w:eastAsia="Malgun Gothic"/>
                                <w:bCs/>
                                <w:iCs/>
                              </w:rPr>
                            </w:pPr>
                            <w:r w:rsidRPr="008574F9">
                              <w:rPr>
                                <w:rFonts w:eastAsiaTheme="minorEastAsia"/>
                                <w:bCs/>
                                <w:iCs/>
                              </w:rPr>
                              <w:t>Fixed parameter values of k1/k2/</w:t>
                            </w:r>
                            <w:r w:rsidRPr="008574F9">
                              <w:t>T1</w:t>
                            </w:r>
                            <w:r w:rsidRPr="008574F9">
                              <w:rPr>
                                <w:vertAlign w:val="subscript"/>
                              </w:rPr>
                              <w:t>min</w:t>
                            </w:r>
                            <w:r w:rsidRPr="008574F9">
                              <w:rPr>
                                <w:rFonts w:eastAsiaTheme="minorEastAsia"/>
                                <w:bCs/>
                                <w:iCs/>
                              </w:rPr>
                              <w:t>/</w:t>
                            </w:r>
                            <w:r w:rsidRPr="008574F9">
                              <w:t>T1</w:t>
                            </w:r>
                            <w:r w:rsidRPr="008574F9">
                              <w:rPr>
                                <w:vertAlign w:val="subscript"/>
                              </w:rPr>
                              <w:t>max</w:t>
                            </w:r>
                            <w:r w:rsidRPr="008574F9">
                              <w:rPr>
                                <w:rFonts w:eastAsiaTheme="minorEastAsia"/>
                                <w:bCs/>
                                <w:iCs/>
                              </w:rPr>
                              <w:t>/</w:t>
                            </w:r>
                            <w:r w:rsidRPr="008574F9">
                              <w:t>T2</w:t>
                            </w:r>
                            <w:r w:rsidRPr="008574F9">
                              <w:rPr>
                                <w:vertAlign w:val="subscript"/>
                              </w:rPr>
                              <w:t>min</w:t>
                            </w:r>
                            <w:r w:rsidRPr="008574F9">
                              <w:rPr>
                                <w:rFonts w:eastAsiaTheme="minorEastAsia"/>
                                <w:bCs/>
                                <w:iCs/>
                              </w:rPr>
                              <w:t>/</w:t>
                            </w:r>
                            <w:r w:rsidRPr="008574F9">
                              <w:t>T2</w:t>
                            </w:r>
                            <w:r w:rsidRPr="008574F9">
                              <w:rPr>
                                <w:vertAlign w:val="subscript"/>
                              </w:rPr>
                              <w:t>max</w:t>
                            </w:r>
                            <w:r w:rsidRPr="008574F9">
                              <w:rPr>
                                <w:rFonts w:eastAsiaTheme="minorEastAsia"/>
                                <w:bCs/>
                                <w:iCs/>
                              </w:rPr>
                              <w:t xml:space="preserve"> across</w:t>
                            </w:r>
                            <w:r w:rsidRPr="008574F9">
                              <w:t xml:space="preserve"> complex elements,</w:t>
                            </w:r>
                            <w:r w:rsidRPr="008574F9">
                              <w:rPr>
                                <w:rFonts w:eastAsiaTheme="minorEastAsia"/>
                                <w:bCs/>
                                <w:iCs/>
                              </w:rPr>
                              <w:t xml:space="preserve"> as a baseline for evaluations. Companies to report the values.</w:t>
                            </w:r>
                          </w:p>
                          <w:p w14:paraId="643B1672" w14:textId="77777777" w:rsidR="008A4D7C" w:rsidRPr="008574F9" w:rsidRDefault="008A4D7C" w:rsidP="008A4D7C">
                            <w:pPr>
                              <w:pStyle w:val="ListParagraph"/>
                              <w:numPr>
                                <w:ilvl w:val="0"/>
                                <w:numId w:val="64"/>
                              </w:numPr>
                              <w:suppressAutoHyphens/>
                              <w:snapToGrid w:val="0"/>
                              <w:spacing w:after="120"/>
                              <w:ind w:leftChars="0"/>
                              <w:jc w:val="both"/>
                              <w:rPr>
                                <w:rFonts w:eastAsia="Malgun Gothic"/>
                                <w:bCs/>
                                <w:iCs/>
                              </w:rPr>
                            </w:pPr>
                            <w:r w:rsidRPr="008574F9">
                              <w:rPr>
                                <w:rFonts w:eastAsia="Malgun Gothic"/>
                                <w:bCs/>
                                <w:iCs/>
                              </w:rPr>
                              <w:t>Note: It is up to company to use number of samples S&gt;1 in their evaluations. In this case, companies need to provide information how S samples are quantized in their evaluation.</w:t>
                            </w:r>
                          </w:p>
                          <w:p w14:paraId="1CD2C871" w14:textId="77777777" w:rsidR="00B778CD" w:rsidRDefault="00B778C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D26BA3" id="Text Box 3" o:spid="_x0000_s1027" type="#_x0000_t202" style="position:absolute;margin-left:1.45pt;margin-top:8.15pt;width:446.6pt;height:292.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" fillcolor="white [3201]" strokeweight=".5pt">
                <v:textbox>
                  <w:txbxContent>
                    <w:p w14:paraId="1956BB94" w14:textId="77777777" w:rsidR="008A4D7C" w:rsidRPr="008A4D7C" w:rsidRDefault="008A4D7C" w:rsidP="008A4D7C">
                      <w:pPr>
                        <w:rPr>
                          <w:rFonts w:eastAsia="DengXian"/>
                          <w:sz w:val="22"/>
                          <w:szCs w:val="22"/>
                        </w:rPr>
                      </w:pPr>
                      <w:r w:rsidRPr="008A4D7C">
                        <w:rPr>
                          <w:rFonts w:eastAsia="DengXian"/>
                          <w:sz w:val="22"/>
                          <w:szCs w:val="22"/>
                          <w:highlight w:val="green"/>
                        </w:rPr>
                        <w:t>Agreement:</w:t>
                      </w:r>
                    </w:p>
                    <w:p w14:paraId="2F66CC7F" w14:textId="77777777" w:rsidR="008A4D7C" w:rsidRPr="008A4D7C" w:rsidRDefault="008A4D7C" w:rsidP="008A4D7C">
                      <w:pPr>
                        <w:tabs>
                          <w:tab w:val="left" w:pos="576"/>
                        </w:tabs>
                        <w:overflowPunct w:val="0"/>
                        <w:textAlignment w:val="baseline"/>
                        <w:rPr>
                          <w:i/>
                          <w:sz w:val="22"/>
                          <w:szCs w:val="22"/>
                        </w:rPr>
                      </w:pPr>
                      <w:r w:rsidRPr="008A4D7C">
                        <w:rPr>
                          <w:sz w:val="22"/>
                          <w:szCs w:val="22"/>
                        </w:rPr>
                        <w:t>For NW side data collection with higher layer reporting, for further study of Option 1 (scalar quantization), consider the following definition for evaluation:</w:t>
                      </w:r>
                    </w:p>
                    <w:p w14:paraId="15BFF2AA" w14:textId="77777777" w:rsidR="008A4D7C" w:rsidRPr="008A4D7C" w:rsidRDefault="008A4D7C" w:rsidP="008A4D7C">
                      <w:pPr>
                        <w:pStyle w:val="ListParagraph"/>
                        <w:numPr>
                          <w:ilvl w:val="0"/>
                          <w:numId w:val="64"/>
                        </w:numPr>
                        <w:suppressAutoHyphens/>
                        <w:snapToGrid w:val="0"/>
                        <w:spacing w:after="120"/>
                        <w:ind w:leftChars="0"/>
                        <w:jc w:val="both"/>
                        <w:rPr>
                          <w:rFonts w:ascii="Times New Roman" w:eastAsia="Malgun Gothic" w:hAnsi="Times New Roman"/>
                          <w:bCs/>
                          <w:iCs/>
                          <w:sz w:val="22"/>
                          <w:szCs w:val="22"/>
                        </w:rPr>
                      </w:pPr>
                      <w:r w:rsidRPr="008A4D7C">
                        <w:rPr>
                          <w:rFonts w:ascii="Times New Roman" w:hAnsi="Times New Roman"/>
                          <w:b/>
                          <w:sz w:val="22"/>
                          <w:szCs w:val="22"/>
                        </w:rPr>
                        <w:t>Content</w:t>
                      </w:r>
                      <w:r w:rsidRPr="008A4D7C">
                        <w:rPr>
                          <w:rFonts w:ascii="Times New Roman" w:hAnsi="Times New Roman"/>
                          <w:sz w:val="22"/>
                          <w:szCs w:val="22"/>
                        </w:rPr>
                        <w:t>: for a number of S=1 (as baseline) Target CSI samples each with the dimensions of 2N</w:t>
                      </w:r>
                      <w:r w:rsidRPr="008A4D7C">
                        <w:rPr>
                          <w:rFonts w:ascii="Times New Roman" w:hAnsi="Times New Roman"/>
                          <w:sz w:val="22"/>
                          <w:szCs w:val="22"/>
                          <w:vertAlign w:val="subscript"/>
                        </w:rPr>
                        <w:t>1</w:t>
                      </w:r>
                      <w:r w:rsidRPr="008A4D7C">
                        <w:rPr>
                          <w:rFonts w:ascii="Times New Roman" w:hAnsi="Times New Roman"/>
                          <w:sz w:val="22"/>
                          <w:szCs w:val="22"/>
                        </w:rPr>
                        <w:t>N</w:t>
                      </w:r>
                      <w:r w:rsidRPr="008A4D7C">
                        <w:rPr>
                          <w:rFonts w:ascii="Times New Roman" w:hAnsi="Times New Roman"/>
                          <w:sz w:val="22"/>
                          <w:szCs w:val="22"/>
                          <w:vertAlign w:val="subscript"/>
                        </w:rPr>
                        <w:t>2</w:t>
                      </w:r>
                      <w:r w:rsidRPr="008A4D7C">
                        <w:rPr>
                          <w:rFonts w:ascii="Times New Roman" w:hAnsi="Times New Roman"/>
                          <w:sz w:val="22"/>
                          <w:szCs w:val="22"/>
                        </w:rPr>
                        <w:t xml:space="preserve"> ports, N</w:t>
                      </w:r>
                      <w:r w:rsidRPr="008A4D7C">
                        <w:rPr>
                          <w:rFonts w:ascii="Times New Roman" w:hAnsi="Times New Roman"/>
                          <w:sz w:val="22"/>
                          <w:szCs w:val="22"/>
                          <w:vertAlign w:val="subscript"/>
                        </w:rPr>
                        <w:t>3</w:t>
                      </w:r>
                      <w:r w:rsidRPr="008A4D7C">
                        <w:rPr>
                          <w:rFonts w:ascii="Times New Roman" w:hAnsi="Times New Roman"/>
                          <w:sz w:val="22"/>
                          <w:szCs w:val="22"/>
                        </w:rPr>
                        <w:t xml:space="preserve"> </w:t>
                      </w:r>
                      <w:proofErr w:type="spellStart"/>
                      <w:r w:rsidRPr="008A4D7C">
                        <w:rPr>
                          <w:rFonts w:ascii="Times New Roman" w:hAnsi="Times New Roman"/>
                          <w:sz w:val="22"/>
                          <w:szCs w:val="22"/>
                        </w:rPr>
                        <w:t>subbands</w:t>
                      </w:r>
                      <w:proofErr w:type="spellEnd"/>
                      <w:r w:rsidRPr="008A4D7C">
                        <w:rPr>
                          <w:rFonts w:ascii="Times New Roman" w:hAnsi="Times New Roman"/>
                          <w:sz w:val="22"/>
                          <w:szCs w:val="22"/>
                        </w:rPr>
                        <w:t xml:space="preserve">, </w:t>
                      </w:r>
                      <w:r w:rsidRPr="008A4D7C">
                        <w:rPr>
                          <w:rFonts w:ascii="Times New Roman" w:hAnsi="Times New Roman"/>
                          <w:i/>
                          <w:sz w:val="22"/>
                          <w:szCs w:val="22"/>
                        </w:rPr>
                        <w:t>v</w:t>
                      </w:r>
                      <w:r w:rsidRPr="008A4D7C">
                        <w:rPr>
                          <w:rFonts w:ascii="Times New Roman" w:hAnsi="Times New Roman"/>
                          <w:sz w:val="22"/>
                          <w:szCs w:val="22"/>
                        </w:rPr>
                        <w:t xml:space="preserve"> layers for precoding matrix, and </w:t>
                      </w:r>
                      <w:proofErr w:type="spellStart"/>
                      <w:r w:rsidRPr="008A4D7C">
                        <w:rPr>
                          <w:rFonts w:ascii="Times New Roman" w:hAnsi="Times New Roman"/>
                          <w:sz w:val="22"/>
                          <w:szCs w:val="22"/>
                        </w:rPr>
                        <w:t>real+imaginary</w:t>
                      </w:r>
                      <w:proofErr w:type="spellEnd"/>
                      <w:r w:rsidRPr="008A4D7C">
                        <w:rPr>
                          <w:rFonts w:ascii="Times New Roman" w:hAnsi="Times New Roman"/>
                          <w:sz w:val="22"/>
                          <w:szCs w:val="22"/>
                        </w:rPr>
                        <w:t xml:space="preserve"> (or </w:t>
                      </w:r>
                      <w:proofErr w:type="spellStart"/>
                      <w:r w:rsidRPr="008A4D7C">
                        <w:rPr>
                          <w:rFonts w:ascii="Times New Roman" w:hAnsi="Times New Roman"/>
                          <w:sz w:val="22"/>
                          <w:szCs w:val="22"/>
                        </w:rPr>
                        <w:t>amplitude+phase</w:t>
                      </w:r>
                      <w:proofErr w:type="spellEnd"/>
                      <w:r w:rsidRPr="008A4D7C">
                        <w:rPr>
                          <w:rFonts w:ascii="Times New Roman" w:hAnsi="Times New Roman"/>
                          <w:sz w:val="22"/>
                          <w:szCs w:val="22"/>
                        </w:rPr>
                        <w:t>) parts, which has overall 2N</w:t>
                      </w:r>
                      <w:r w:rsidRPr="008A4D7C">
                        <w:rPr>
                          <w:rFonts w:ascii="Times New Roman" w:hAnsi="Times New Roman"/>
                          <w:sz w:val="22"/>
                          <w:szCs w:val="22"/>
                          <w:vertAlign w:val="subscript"/>
                        </w:rPr>
                        <w:t>1</w:t>
                      </w:r>
                      <w:r w:rsidRPr="008A4D7C">
                        <w:rPr>
                          <w:rFonts w:ascii="Times New Roman" w:hAnsi="Times New Roman"/>
                          <w:sz w:val="22"/>
                          <w:szCs w:val="22"/>
                        </w:rPr>
                        <w:t>N</w:t>
                      </w:r>
                      <w:r w:rsidRPr="008A4D7C">
                        <w:rPr>
                          <w:rFonts w:ascii="Times New Roman" w:hAnsi="Times New Roman"/>
                          <w:sz w:val="22"/>
                          <w:szCs w:val="22"/>
                          <w:vertAlign w:val="subscript"/>
                        </w:rPr>
                        <w:t>2</w:t>
                      </w:r>
                      <w:r w:rsidRPr="008A4D7C">
                        <w:rPr>
                          <w:rFonts w:ascii="Times New Roman" w:hAnsi="Times New Roman"/>
                          <w:sz w:val="22"/>
                          <w:szCs w:val="22"/>
                        </w:rPr>
                        <w:t>*N</w:t>
                      </w:r>
                      <w:r w:rsidRPr="008A4D7C">
                        <w:rPr>
                          <w:rFonts w:ascii="Times New Roman" w:hAnsi="Times New Roman"/>
                          <w:sz w:val="22"/>
                          <w:szCs w:val="22"/>
                          <w:vertAlign w:val="subscript"/>
                        </w:rPr>
                        <w:t>3</w:t>
                      </w:r>
                      <w:r w:rsidRPr="008A4D7C">
                        <w:rPr>
                          <w:rFonts w:ascii="Times New Roman" w:hAnsi="Times New Roman"/>
                          <w:sz w:val="22"/>
                          <w:szCs w:val="22"/>
                        </w:rPr>
                        <w:t>*</w:t>
                      </w:r>
                      <w:r w:rsidRPr="008A4D7C">
                        <w:rPr>
                          <w:rFonts w:ascii="Times New Roman" w:hAnsi="Times New Roman"/>
                          <w:i/>
                          <w:sz w:val="22"/>
                          <w:szCs w:val="22"/>
                        </w:rPr>
                        <w:t>v</w:t>
                      </w:r>
                      <w:r w:rsidRPr="008A4D7C">
                        <w:rPr>
                          <w:rFonts w:ascii="Times New Roman" w:hAnsi="Times New Roman"/>
                          <w:sz w:val="22"/>
                          <w:szCs w:val="22"/>
                        </w:rPr>
                        <w:t xml:space="preserve"> complex elements, and any complex element has a real (or amplitude) part of </w:t>
                      </w:r>
                      <w:r w:rsidRPr="008A4D7C">
                        <w:rPr>
                          <w:rFonts w:ascii="Times New Roman" w:hAnsi="Times New Roman"/>
                          <w:i/>
                          <w:sz w:val="22"/>
                          <w:szCs w:val="22"/>
                        </w:rPr>
                        <w:t>x1</w:t>
                      </w:r>
                      <w:r w:rsidRPr="008A4D7C">
                        <w:rPr>
                          <w:rFonts w:ascii="Times New Roman" w:hAnsi="Times New Roman"/>
                          <w:sz w:val="22"/>
                          <w:szCs w:val="22"/>
                        </w:rPr>
                        <w:t xml:space="preserve"> and an imaginary (or phase) part of </w:t>
                      </w:r>
                      <w:r w:rsidRPr="008A4D7C">
                        <w:rPr>
                          <w:rFonts w:ascii="Times New Roman" w:hAnsi="Times New Roman"/>
                          <w:i/>
                          <w:sz w:val="22"/>
                          <w:szCs w:val="22"/>
                        </w:rPr>
                        <w:t>x2</w:t>
                      </w:r>
                      <w:r w:rsidRPr="008A4D7C">
                        <w:rPr>
                          <w:rFonts w:ascii="Times New Roman" w:hAnsi="Times New Roman"/>
                          <w:sz w:val="22"/>
                          <w:szCs w:val="22"/>
                        </w:rPr>
                        <w:t>.</w:t>
                      </w:r>
                    </w:p>
                    <w:p w14:paraId="7FCD2504" w14:textId="77777777" w:rsidR="008A4D7C" w:rsidRPr="008574F9" w:rsidRDefault="008A4D7C" w:rsidP="008A4D7C">
                      <w:pPr>
                        <w:pStyle w:val="ListParagraph"/>
                        <w:numPr>
                          <w:ilvl w:val="1"/>
                          <w:numId w:val="64"/>
                        </w:numPr>
                        <w:suppressAutoHyphens/>
                        <w:snapToGrid w:val="0"/>
                        <w:spacing w:after="120"/>
                        <w:ind w:leftChars="0" w:left="780" w:hanging="360"/>
                        <w:jc w:val="both"/>
                        <w:rPr>
                          <w:rFonts w:eastAsia="Malgun Gothic"/>
                          <w:bCs/>
                          <w:iCs/>
                        </w:rPr>
                      </w:pPr>
                      <w:r w:rsidRPr="008A4D7C">
                        <w:rPr>
                          <w:rFonts w:ascii="Times New Roman" w:eastAsiaTheme="minorEastAsia" w:hAnsi="Times New Roman"/>
                          <w:bCs/>
                          <w:iCs/>
                          <w:sz w:val="22"/>
                          <w:szCs w:val="22"/>
                        </w:rPr>
                        <w:t xml:space="preserve">Note: Companies to report </w:t>
                      </w:r>
                      <w:proofErr w:type="gramStart"/>
                      <w:r w:rsidRPr="008A4D7C">
                        <w:rPr>
                          <w:rFonts w:ascii="Times New Roman" w:eastAsiaTheme="minorEastAsia" w:hAnsi="Times New Roman"/>
                          <w:bCs/>
                          <w:iCs/>
                          <w:sz w:val="22"/>
                          <w:szCs w:val="22"/>
                        </w:rPr>
                        <w:t>whether  real</w:t>
                      </w:r>
                      <w:proofErr w:type="gramEnd"/>
                      <w:r w:rsidRPr="008A4D7C">
                        <w:rPr>
                          <w:rFonts w:ascii="Times New Roman" w:eastAsiaTheme="minorEastAsia" w:hAnsi="Times New Roman"/>
                          <w:bCs/>
                          <w:iCs/>
                          <w:sz w:val="22"/>
                          <w:szCs w:val="22"/>
                        </w:rPr>
                        <w:t xml:space="preserve"> value and imaginary value are quantized, or </w:t>
                      </w:r>
                      <w:r w:rsidRPr="008A4D7C">
                        <w:rPr>
                          <w:rFonts w:ascii="Times New Roman" w:hAnsi="Times New Roman"/>
                          <w:sz w:val="22"/>
                          <w:szCs w:val="22"/>
                        </w:rPr>
                        <w:t xml:space="preserve">amplitude </w:t>
                      </w:r>
                      <w:r w:rsidRPr="008574F9">
                        <w:rPr>
                          <w:rFonts w:eastAsiaTheme="minorEastAsia"/>
                          <w:bCs/>
                          <w:iCs/>
                        </w:rPr>
                        <w:t xml:space="preserve">value and </w:t>
                      </w:r>
                      <w:r w:rsidRPr="008574F9">
                        <w:t xml:space="preserve">phase </w:t>
                      </w:r>
                      <w:r w:rsidRPr="008574F9">
                        <w:rPr>
                          <w:rFonts w:eastAsiaTheme="minorEastAsia"/>
                          <w:bCs/>
                          <w:iCs/>
                        </w:rPr>
                        <w:t>value are quantized.</w:t>
                      </w:r>
                    </w:p>
                    <w:p w14:paraId="7C1212AB" w14:textId="77777777" w:rsidR="008A4D7C" w:rsidRPr="008574F9" w:rsidRDefault="008A4D7C" w:rsidP="008A4D7C">
                      <w:pPr>
                        <w:pStyle w:val="ListParagraph"/>
                        <w:numPr>
                          <w:ilvl w:val="0"/>
                          <w:numId w:val="64"/>
                        </w:numPr>
                        <w:suppressAutoHyphens/>
                        <w:snapToGrid w:val="0"/>
                        <w:spacing w:after="120"/>
                        <w:ind w:leftChars="0"/>
                        <w:jc w:val="both"/>
                        <w:rPr>
                          <w:rFonts w:eastAsia="Malgun Gothic"/>
                          <w:bCs/>
                          <w:iCs/>
                        </w:rPr>
                      </w:pPr>
                      <w:r w:rsidRPr="008574F9">
                        <w:rPr>
                          <w:rFonts w:eastAsiaTheme="minorEastAsia" w:hint="eastAsia"/>
                          <w:b/>
                          <w:bCs/>
                          <w:iCs/>
                        </w:rPr>
                        <w:t>F</w:t>
                      </w:r>
                      <w:r w:rsidRPr="008574F9">
                        <w:rPr>
                          <w:rFonts w:eastAsiaTheme="minorEastAsia"/>
                          <w:b/>
                          <w:bCs/>
                          <w:iCs/>
                        </w:rPr>
                        <w:t>ormat</w:t>
                      </w:r>
                      <w:r w:rsidRPr="008574F9">
                        <w:rPr>
                          <w:rFonts w:eastAsiaTheme="minorEastAsia"/>
                          <w:bCs/>
                          <w:iCs/>
                        </w:rPr>
                        <w:t xml:space="preserve">: </w:t>
                      </w:r>
                      <w:r w:rsidRPr="008574F9">
                        <w:rPr>
                          <w:i/>
                        </w:rPr>
                        <w:t>x1</w:t>
                      </w:r>
                      <w:r w:rsidRPr="008574F9">
                        <w:t xml:space="preserve"> </w:t>
                      </w:r>
                      <w:r w:rsidRPr="008574F9">
                        <w:rPr>
                          <w:rFonts w:eastAsiaTheme="minorEastAsia"/>
                          <w:bCs/>
                          <w:iCs/>
                        </w:rPr>
                        <w:t xml:space="preserve">is quantized to k1 bits within range of </w:t>
                      </w:r>
                      <w:r w:rsidRPr="008574F9">
                        <w:t>[T1</w:t>
                      </w:r>
                      <w:r w:rsidRPr="008574F9">
                        <w:rPr>
                          <w:vertAlign w:val="subscript"/>
                        </w:rPr>
                        <w:t>min</w:t>
                      </w:r>
                      <w:r w:rsidRPr="008574F9">
                        <w:t>, T1</w:t>
                      </w:r>
                      <w:r w:rsidRPr="008574F9">
                        <w:rPr>
                          <w:vertAlign w:val="subscript"/>
                        </w:rPr>
                        <w:t>max</w:t>
                      </w:r>
                      <w:r w:rsidRPr="008574F9">
                        <w:t>],</w:t>
                      </w:r>
                      <w:r w:rsidRPr="008574F9">
                        <w:rPr>
                          <w:rFonts w:eastAsiaTheme="minorEastAsia"/>
                          <w:bCs/>
                          <w:iCs/>
                        </w:rPr>
                        <w:t xml:space="preserve"> and </w:t>
                      </w:r>
                      <w:r w:rsidRPr="008574F9">
                        <w:rPr>
                          <w:i/>
                        </w:rPr>
                        <w:t>x2</w:t>
                      </w:r>
                      <w:r w:rsidRPr="008574F9">
                        <w:rPr>
                          <w:rFonts w:eastAsiaTheme="minorEastAsia"/>
                          <w:bCs/>
                          <w:iCs/>
                        </w:rPr>
                        <w:t xml:space="preserve"> is quantized to k2 bits within range of </w:t>
                      </w:r>
                      <w:r w:rsidRPr="008574F9">
                        <w:t>[T2</w:t>
                      </w:r>
                      <w:r w:rsidRPr="008574F9">
                        <w:rPr>
                          <w:vertAlign w:val="subscript"/>
                        </w:rPr>
                        <w:t>min</w:t>
                      </w:r>
                      <w:r w:rsidRPr="008574F9">
                        <w:t>, T2</w:t>
                      </w:r>
                      <w:r w:rsidRPr="008574F9">
                        <w:rPr>
                          <w:vertAlign w:val="subscript"/>
                        </w:rPr>
                        <w:t>max</w:t>
                      </w:r>
                      <w:r w:rsidRPr="008574F9">
                        <w:t>].</w:t>
                      </w:r>
                      <w:r w:rsidRPr="008574F9">
                        <w:rPr>
                          <w:rFonts w:eastAsiaTheme="minorEastAsia"/>
                          <w:bCs/>
                          <w:iCs/>
                        </w:rPr>
                        <w:t xml:space="preserve"> E.g., for Scalar8, k1=8 bits for quantizing the real part, and k2=8 bits for quantizing the imaginary part. Uniform quantization is assumed.</w:t>
                      </w:r>
                    </w:p>
                    <w:p w14:paraId="5C6332DD" w14:textId="77777777" w:rsidR="008A4D7C" w:rsidRPr="008574F9" w:rsidRDefault="008A4D7C" w:rsidP="008A4D7C">
                      <w:pPr>
                        <w:pStyle w:val="ListParagraph"/>
                        <w:numPr>
                          <w:ilvl w:val="1"/>
                          <w:numId w:val="64"/>
                        </w:numPr>
                        <w:suppressAutoHyphens/>
                        <w:snapToGrid w:val="0"/>
                        <w:spacing w:after="120"/>
                        <w:ind w:leftChars="0" w:left="780" w:hanging="360"/>
                        <w:jc w:val="both"/>
                        <w:rPr>
                          <w:rFonts w:eastAsia="Malgun Gothic"/>
                          <w:bCs/>
                          <w:iCs/>
                        </w:rPr>
                      </w:pPr>
                      <w:r w:rsidRPr="008574F9">
                        <w:rPr>
                          <w:rFonts w:eastAsiaTheme="minorEastAsia"/>
                          <w:bCs/>
                          <w:iCs/>
                        </w:rPr>
                        <w:t>Note: Companies to report whether/how the normalization is performed, and whether it is normalized within or across</w:t>
                      </w:r>
                      <w:r w:rsidRPr="008574F9">
                        <w:t xml:space="preserve"> 2N</w:t>
                      </w:r>
                      <w:r w:rsidRPr="008574F9">
                        <w:rPr>
                          <w:vertAlign w:val="subscript"/>
                        </w:rPr>
                        <w:t>1</w:t>
                      </w:r>
                      <w:r w:rsidRPr="008574F9">
                        <w:t>N</w:t>
                      </w:r>
                      <w:r w:rsidRPr="008574F9">
                        <w:rPr>
                          <w:vertAlign w:val="subscript"/>
                        </w:rPr>
                        <w:t>2</w:t>
                      </w:r>
                      <w:r w:rsidRPr="008574F9">
                        <w:t xml:space="preserve"> ports/</w:t>
                      </w:r>
                      <w:r w:rsidRPr="008574F9">
                        <w:rPr>
                          <w:rFonts w:hint="eastAsia"/>
                        </w:rPr>
                        <w:t xml:space="preserve"> N</w:t>
                      </w:r>
                      <w:r w:rsidRPr="008574F9">
                        <w:rPr>
                          <w:rFonts w:hint="eastAsia"/>
                          <w:vertAlign w:val="subscript"/>
                        </w:rPr>
                        <w:t>3</w:t>
                      </w:r>
                      <w:r w:rsidRPr="008574F9">
                        <w:t xml:space="preserve"> </w:t>
                      </w:r>
                      <w:proofErr w:type="spellStart"/>
                      <w:r w:rsidRPr="008574F9">
                        <w:t>subbands</w:t>
                      </w:r>
                      <w:proofErr w:type="spellEnd"/>
                      <w:r w:rsidRPr="008574F9">
                        <w:t xml:space="preserve">/ </w:t>
                      </w:r>
                      <w:r w:rsidRPr="008574F9">
                        <w:rPr>
                          <w:i/>
                        </w:rPr>
                        <w:t>v</w:t>
                      </w:r>
                      <w:r w:rsidRPr="008574F9">
                        <w:t xml:space="preserve"> layers/ real and imaginary (or amplitude and phase) parts.</w:t>
                      </w:r>
                    </w:p>
                    <w:p w14:paraId="64A33527" w14:textId="77777777" w:rsidR="008A4D7C" w:rsidRPr="008574F9" w:rsidRDefault="008A4D7C" w:rsidP="008A4D7C">
                      <w:pPr>
                        <w:pStyle w:val="ListParagraph"/>
                        <w:numPr>
                          <w:ilvl w:val="0"/>
                          <w:numId w:val="64"/>
                        </w:numPr>
                        <w:suppressAutoHyphens/>
                        <w:snapToGrid w:val="0"/>
                        <w:spacing w:after="120"/>
                        <w:ind w:leftChars="0"/>
                        <w:jc w:val="both"/>
                        <w:rPr>
                          <w:rFonts w:eastAsia="Malgun Gothic"/>
                          <w:bCs/>
                          <w:iCs/>
                        </w:rPr>
                      </w:pPr>
                      <w:r w:rsidRPr="008574F9">
                        <w:rPr>
                          <w:rFonts w:eastAsiaTheme="minorEastAsia"/>
                          <w:bCs/>
                          <w:iCs/>
                        </w:rPr>
                        <w:t>Fixed parameter values of k1/k2/</w:t>
                      </w:r>
                      <w:r w:rsidRPr="008574F9">
                        <w:t>T1</w:t>
                      </w:r>
                      <w:r w:rsidRPr="008574F9">
                        <w:rPr>
                          <w:vertAlign w:val="subscript"/>
                        </w:rPr>
                        <w:t>min</w:t>
                      </w:r>
                      <w:r w:rsidRPr="008574F9">
                        <w:rPr>
                          <w:rFonts w:eastAsiaTheme="minorEastAsia"/>
                          <w:bCs/>
                          <w:iCs/>
                        </w:rPr>
                        <w:t>/</w:t>
                      </w:r>
                      <w:r w:rsidRPr="008574F9">
                        <w:t>T1</w:t>
                      </w:r>
                      <w:r w:rsidRPr="008574F9">
                        <w:rPr>
                          <w:vertAlign w:val="subscript"/>
                        </w:rPr>
                        <w:t>max</w:t>
                      </w:r>
                      <w:r w:rsidRPr="008574F9">
                        <w:rPr>
                          <w:rFonts w:eastAsiaTheme="minorEastAsia"/>
                          <w:bCs/>
                          <w:iCs/>
                        </w:rPr>
                        <w:t>/</w:t>
                      </w:r>
                      <w:r w:rsidRPr="008574F9">
                        <w:t>T2</w:t>
                      </w:r>
                      <w:r w:rsidRPr="008574F9">
                        <w:rPr>
                          <w:vertAlign w:val="subscript"/>
                        </w:rPr>
                        <w:t>min</w:t>
                      </w:r>
                      <w:r w:rsidRPr="008574F9">
                        <w:rPr>
                          <w:rFonts w:eastAsiaTheme="minorEastAsia"/>
                          <w:bCs/>
                          <w:iCs/>
                        </w:rPr>
                        <w:t>/</w:t>
                      </w:r>
                      <w:r w:rsidRPr="008574F9">
                        <w:t>T2</w:t>
                      </w:r>
                      <w:r w:rsidRPr="008574F9">
                        <w:rPr>
                          <w:vertAlign w:val="subscript"/>
                        </w:rPr>
                        <w:t>max</w:t>
                      </w:r>
                      <w:r w:rsidRPr="008574F9">
                        <w:rPr>
                          <w:rFonts w:eastAsiaTheme="minorEastAsia"/>
                          <w:bCs/>
                          <w:iCs/>
                        </w:rPr>
                        <w:t xml:space="preserve"> across</w:t>
                      </w:r>
                      <w:r w:rsidRPr="008574F9">
                        <w:t xml:space="preserve"> complex elements,</w:t>
                      </w:r>
                      <w:r w:rsidRPr="008574F9">
                        <w:rPr>
                          <w:rFonts w:eastAsiaTheme="minorEastAsia"/>
                          <w:bCs/>
                          <w:iCs/>
                        </w:rPr>
                        <w:t xml:space="preserve"> as a baseline for evaluations. Companies to report the values.</w:t>
                      </w:r>
                    </w:p>
                    <w:p w14:paraId="643B1672" w14:textId="77777777" w:rsidR="008A4D7C" w:rsidRPr="008574F9" w:rsidRDefault="008A4D7C" w:rsidP="008A4D7C">
                      <w:pPr>
                        <w:pStyle w:val="ListParagraph"/>
                        <w:numPr>
                          <w:ilvl w:val="0"/>
                          <w:numId w:val="64"/>
                        </w:numPr>
                        <w:suppressAutoHyphens/>
                        <w:snapToGrid w:val="0"/>
                        <w:spacing w:after="120"/>
                        <w:ind w:leftChars="0"/>
                        <w:jc w:val="both"/>
                        <w:rPr>
                          <w:rFonts w:eastAsia="Malgun Gothic"/>
                          <w:bCs/>
                          <w:iCs/>
                        </w:rPr>
                      </w:pPr>
                      <w:r w:rsidRPr="008574F9">
                        <w:rPr>
                          <w:rFonts w:eastAsia="Malgun Gothic"/>
                          <w:bCs/>
                          <w:iCs/>
                        </w:rPr>
                        <w:t>Note: It is up to company to use number of samples S&gt;1 in their evaluations. In this case, companies need to provide information how S samples are quantized in their evaluation.</w:t>
                      </w:r>
                    </w:p>
                    <w:p w14:paraId="1CD2C871" w14:textId="77777777" w:rsidR="00B778CD" w:rsidRDefault="00B778CD"/>
                  </w:txbxContent>
                </v:textbox>
              </v:shape>
            </w:pict>
          </mc:Fallback>
        </mc:AlternateContent>
      </w:r>
    </w:p>
    <w:p w14:paraId="7613229B" w14:textId="77777777" w:rsidR="00B778CD" w:rsidRDefault="00B778CD" w:rsidP="00A17182">
      <w:pPr>
        <w:rPr>
          <w:sz w:val="22"/>
          <w:szCs w:val="22"/>
        </w:rPr>
      </w:pPr>
    </w:p>
    <w:p w14:paraId="075661C2" w14:textId="77777777" w:rsidR="00B778CD" w:rsidRDefault="00B778CD" w:rsidP="00A17182">
      <w:pPr>
        <w:rPr>
          <w:sz w:val="22"/>
          <w:szCs w:val="22"/>
        </w:rPr>
      </w:pPr>
    </w:p>
    <w:p w14:paraId="165E218B" w14:textId="77777777" w:rsidR="00B778CD" w:rsidRDefault="00B778CD" w:rsidP="00A17182">
      <w:pPr>
        <w:rPr>
          <w:sz w:val="22"/>
          <w:szCs w:val="22"/>
        </w:rPr>
      </w:pPr>
    </w:p>
    <w:p w14:paraId="2201C457" w14:textId="77777777" w:rsidR="00B778CD" w:rsidRDefault="00B778CD" w:rsidP="00A17182">
      <w:pPr>
        <w:rPr>
          <w:sz w:val="22"/>
          <w:szCs w:val="22"/>
        </w:rPr>
      </w:pPr>
    </w:p>
    <w:p w14:paraId="062EFA88" w14:textId="77777777" w:rsidR="00B778CD" w:rsidRDefault="00B778CD" w:rsidP="00A17182">
      <w:pPr>
        <w:rPr>
          <w:sz w:val="22"/>
          <w:szCs w:val="22"/>
        </w:rPr>
      </w:pPr>
    </w:p>
    <w:p w14:paraId="704B8A80" w14:textId="77777777" w:rsidR="00B778CD" w:rsidRDefault="00B778CD" w:rsidP="00A17182">
      <w:pPr>
        <w:rPr>
          <w:sz w:val="22"/>
          <w:szCs w:val="22"/>
        </w:rPr>
      </w:pPr>
    </w:p>
    <w:p w14:paraId="22C3FC3A" w14:textId="77777777" w:rsidR="00B778CD" w:rsidRDefault="00B778CD" w:rsidP="00A17182">
      <w:pPr>
        <w:rPr>
          <w:sz w:val="22"/>
          <w:szCs w:val="22"/>
        </w:rPr>
      </w:pPr>
    </w:p>
    <w:p w14:paraId="25299D4B" w14:textId="77777777" w:rsidR="00B778CD" w:rsidRDefault="00B778CD" w:rsidP="00A17182">
      <w:pPr>
        <w:rPr>
          <w:sz w:val="22"/>
          <w:szCs w:val="22"/>
        </w:rPr>
      </w:pPr>
    </w:p>
    <w:p w14:paraId="0CB3817E" w14:textId="77777777" w:rsidR="00B778CD" w:rsidRDefault="00B778CD" w:rsidP="00A17182">
      <w:pPr>
        <w:rPr>
          <w:sz w:val="22"/>
          <w:szCs w:val="22"/>
        </w:rPr>
      </w:pPr>
    </w:p>
    <w:p w14:paraId="626243DD" w14:textId="77777777" w:rsidR="00B778CD" w:rsidRDefault="00B778CD" w:rsidP="00A17182">
      <w:pPr>
        <w:rPr>
          <w:sz w:val="22"/>
          <w:szCs w:val="22"/>
        </w:rPr>
      </w:pPr>
    </w:p>
    <w:p w14:paraId="158B6C4A" w14:textId="10EEBCEF" w:rsidR="00B778CD" w:rsidRDefault="00B778CD" w:rsidP="00A17182">
      <w:pPr>
        <w:rPr>
          <w:sz w:val="22"/>
          <w:szCs w:val="22"/>
        </w:rPr>
      </w:pPr>
    </w:p>
    <w:p w14:paraId="6BBA5D61" w14:textId="47119044" w:rsidR="00B778CD" w:rsidRDefault="00B778CD" w:rsidP="00A17182">
      <w:pPr>
        <w:rPr>
          <w:sz w:val="22"/>
          <w:szCs w:val="22"/>
        </w:rPr>
      </w:pPr>
    </w:p>
    <w:p w14:paraId="17992003" w14:textId="6F02ECB2" w:rsidR="00B778CD" w:rsidRDefault="00B778CD" w:rsidP="00A17182">
      <w:pPr>
        <w:rPr>
          <w:sz w:val="22"/>
          <w:szCs w:val="22"/>
        </w:rPr>
      </w:pPr>
    </w:p>
    <w:p w14:paraId="6D9AAE1F" w14:textId="6B7D0A53" w:rsidR="00B778CD" w:rsidRDefault="00B778CD" w:rsidP="00A17182">
      <w:pPr>
        <w:rPr>
          <w:sz w:val="22"/>
          <w:szCs w:val="22"/>
        </w:rPr>
      </w:pPr>
    </w:p>
    <w:p w14:paraId="204A88DC" w14:textId="77777777" w:rsidR="00B778CD" w:rsidRDefault="00B778CD" w:rsidP="00A17182">
      <w:pPr>
        <w:rPr>
          <w:sz w:val="22"/>
          <w:szCs w:val="22"/>
        </w:rPr>
      </w:pPr>
    </w:p>
    <w:p w14:paraId="1FEA2937" w14:textId="77777777" w:rsidR="00B778CD" w:rsidRDefault="00B778CD" w:rsidP="00A17182">
      <w:pPr>
        <w:rPr>
          <w:sz w:val="22"/>
          <w:szCs w:val="22"/>
        </w:rPr>
      </w:pPr>
    </w:p>
    <w:p w14:paraId="13E13534" w14:textId="77777777" w:rsidR="00B778CD" w:rsidRDefault="00B778CD" w:rsidP="00A17182">
      <w:pPr>
        <w:rPr>
          <w:sz w:val="22"/>
          <w:szCs w:val="22"/>
        </w:rPr>
      </w:pPr>
    </w:p>
    <w:p w14:paraId="6A30E86B" w14:textId="77777777" w:rsidR="00B778CD" w:rsidRDefault="00B778CD" w:rsidP="00A17182">
      <w:pPr>
        <w:rPr>
          <w:sz w:val="22"/>
          <w:szCs w:val="22"/>
        </w:rPr>
      </w:pPr>
    </w:p>
    <w:p w14:paraId="5441BE5F" w14:textId="77777777" w:rsidR="00B778CD" w:rsidRDefault="00B778CD" w:rsidP="00A17182">
      <w:pPr>
        <w:rPr>
          <w:sz w:val="22"/>
          <w:szCs w:val="22"/>
        </w:rPr>
      </w:pPr>
    </w:p>
    <w:p w14:paraId="7BC5DF73" w14:textId="71513A98" w:rsidR="00A17182" w:rsidRDefault="00B778CD" w:rsidP="00A17182">
      <w:pPr>
        <w:rPr>
          <w:sz w:val="22"/>
          <w:szCs w:val="22"/>
        </w:rPr>
      </w:pPr>
      <w:r>
        <w:rPr>
          <w:sz w:val="22"/>
          <w:szCs w:val="22"/>
        </w:rPr>
        <w:t xml:space="preserve"> </w:t>
      </w:r>
    </w:p>
    <w:p w14:paraId="007EEA8B" w14:textId="77777777" w:rsidR="00A17182" w:rsidRDefault="00A17182" w:rsidP="00A17182">
      <w:pPr>
        <w:rPr>
          <w:sz w:val="22"/>
          <w:szCs w:val="22"/>
        </w:rPr>
      </w:pPr>
    </w:p>
    <w:p w14:paraId="4003ACC2" w14:textId="77777777" w:rsidR="00B778CD" w:rsidRDefault="00B778CD" w:rsidP="00A17182">
      <w:pPr>
        <w:rPr>
          <w:sz w:val="22"/>
          <w:szCs w:val="22"/>
        </w:rPr>
      </w:pPr>
    </w:p>
    <w:p w14:paraId="2C8E6EDB" w14:textId="77777777" w:rsidR="00B778CD" w:rsidRDefault="00B778CD" w:rsidP="00A17182">
      <w:pPr>
        <w:rPr>
          <w:sz w:val="22"/>
          <w:szCs w:val="22"/>
        </w:rPr>
      </w:pPr>
    </w:p>
    <w:p w14:paraId="720C522E" w14:textId="77777777" w:rsidR="00B778CD" w:rsidRDefault="00B778CD" w:rsidP="00A17182">
      <w:pPr>
        <w:rPr>
          <w:sz w:val="22"/>
          <w:szCs w:val="22"/>
        </w:rPr>
      </w:pPr>
    </w:p>
    <w:p w14:paraId="34D77705" w14:textId="20229C0D" w:rsidR="00B778CD" w:rsidRDefault="00AA662A" w:rsidP="00A17182">
      <w:pPr>
        <w:rPr>
          <w:sz w:val="22"/>
          <w:szCs w:val="22"/>
        </w:rPr>
      </w:pPr>
      <w:r>
        <w:rPr>
          <w:sz w:val="22"/>
          <w:szCs w:val="22"/>
        </w:rPr>
        <w:t xml:space="preserve">Although a per layer target CSI is </w:t>
      </w:r>
      <w:r w:rsidR="00493866">
        <w:rPr>
          <w:sz w:val="22"/>
          <w:szCs w:val="22"/>
        </w:rPr>
        <w:t xml:space="preserve">a </w:t>
      </w:r>
      <w:r>
        <w:rPr>
          <w:sz w:val="22"/>
          <w:szCs w:val="22"/>
        </w:rPr>
        <w:t xml:space="preserve">normalized vector, each element of the per layer target CSI may still vary in a wide range. We first study the value distribution of a real </w:t>
      </w:r>
      <w:r w:rsidR="00493866">
        <w:rPr>
          <w:sz w:val="22"/>
          <w:szCs w:val="22"/>
        </w:rPr>
        <w:t xml:space="preserve">part </w:t>
      </w:r>
      <w:r>
        <w:rPr>
          <w:sz w:val="22"/>
          <w:szCs w:val="22"/>
        </w:rPr>
        <w:t xml:space="preserve">and an imaginary part of </w:t>
      </w:r>
      <w:r w:rsidR="00493866">
        <w:rPr>
          <w:sz w:val="22"/>
          <w:szCs w:val="22"/>
        </w:rPr>
        <w:t xml:space="preserve">the per layer target CSI. </w:t>
      </w:r>
      <w:r w:rsidR="00CB4607">
        <w:rPr>
          <w:sz w:val="22"/>
          <w:szCs w:val="22"/>
        </w:rPr>
        <w:t xml:space="preserve">To make the value distribution not dependent on the vector length, we scale each element by </w:t>
      </w:r>
      <m:oMath>
        <m:rad>
          <m:radPr>
            <m:degHide m:val="1"/>
            <m:ctrlPr>
              <w:rPr>
                <w:rFonts w:ascii="Cambria Math" w:hAnsi="Cambria Math"/>
                <w:i/>
                <w:sz w:val="22"/>
                <w:szCs w:val="22"/>
              </w:rPr>
            </m:ctrlPr>
          </m:radPr>
          <m:deg/>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tx</m:t>
                </m:r>
              </m:sub>
            </m:sSub>
          </m:e>
        </m:rad>
      </m:oMath>
      <w:r w:rsidR="00CB4607">
        <w:rPr>
          <w:sz w:val="22"/>
          <w:szCs w:val="22"/>
        </w:rPr>
        <w:t xml:space="preserve"> before quantization.</w:t>
      </w:r>
    </w:p>
    <w:p w14:paraId="48504671" w14:textId="77777777" w:rsidR="007A480C" w:rsidRDefault="007A480C" w:rsidP="00A17182">
      <w:pPr>
        <w:rPr>
          <w:sz w:val="22"/>
          <w:szCs w:val="22"/>
        </w:rPr>
      </w:pPr>
    </w:p>
    <w:p w14:paraId="74C3CBC8" w14:textId="64CDBDD2" w:rsidR="00991983" w:rsidRDefault="00991983" w:rsidP="00A17182">
      <w:pPr>
        <w:rPr>
          <w:sz w:val="22"/>
          <w:szCs w:val="22"/>
        </w:rPr>
      </w:pPr>
      <w:r>
        <w:rPr>
          <w:sz w:val="22"/>
          <w:szCs w:val="22"/>
        </w:rPr>
        <w:fldChar w:fldCharType="begin"/>
      </w:r>
      <w:r>
        <w:rPr>
          <w:sz w:val="22"/>
          <w:szCs w:val="22"/>
        </w:rPr>
        <w:instrText xml:space="preserve"> REF _Ref212736572 \h </w:instrText>
      </w:r>
      <w:r>
        <w:rPr>
          <w:sz w:val="22"/>
          <w:szCs w:val="22"/>
        </w:rPr>
      </w:r>
      <w:r>
        <w:rPr>
          <w:sz w:val="22"/>
          <w:szCs w:val="22"/>
        </w:rPr>
        <w:fldChar w:fldCharType="separate"/>
      </w:r>
      <w:r w:rsidRPr="007A480C">
        <w:rPr>
          <w:sz w:val="22"/>
          <w:szCs w:val="22"/>
        </w:rPr>
        <w:t xml:space="preserve">Figure </w:t>
      </w:r>
      <w:r w:rsidRPr="007A480C">
        <w:rPr>
          <w:noProof/>
          <w:sz w:val="22"/>
          <w:szCs w:val="22"/>
        </w:rPr>
        <w:t>1</w:t>
      </w:r>
      <w:r>
        <w:rPr>
          <w:sz w:val="22"/>
          <w:szCs w:val="22"/>
        </w:rPr>
        <w:fldChar w:fldCharType="end"/>
      </w:r>
      <w:r>
        <w:rPr>
          <w:sz w:val="22"/>
          <w:szCs w:val="22"/>
        </w:rPr>
        <w:t xml:space="preserve"> illustrates probability distribution for a real part or an imaginary part for the 1</w:t>
      </w:r>
      <w:r w:rsidRPr="00991983">
        <w:rPr>
          <w:sz w:val="22"/>
          <w:szCs w:val="22"/>
          <w:vertAlign w:val="superscript"/>
        </w:rPr>
        <w:t>st</w:t>
      </w:r>
      <w:r>
        <w:rPr>
          <w:sz w:val="22"/>
          <w:szCs w:val="22"/>
        </w:rPr>
        <w:t>/2</w:t>
      </w:r>
      <w:r w:rsidRPr="00991983">
        <w:rPr>
          <w:sz w:val="22"/>
          <w:szCs w:val="22"/>
          <w:vertAlign w:val="superscript"/>
        </w:rPr>
        <w:t>nd</w:t>
      </w:r>
      <w:r>
        <w:rPr>
          <w:sz w:val="22"/>
          <w:szCs w:val="22"/>
        </w:rPr>
        <w:t>/3</w:t>
      </w:r>
      <w:r w:rsidRPr="00991983">
        <w:rPr>
          <w:sz w:val="22"/>
          <w:szCs w:val="22"/>
          <w:vertAlign w:val="superscript"/>
        </w:rPr>
        <w:t>rd</w:t>
      </w:r>
      <w:r>
        <w:rPr>
          <w:sz w:val="22"/>
          <w:szCs w:val="22"/>
        </w:rPr>
        <w:t>/4</w:t>
      </w:r>
      <w:r w:rsidRPr="00991983">
        <w:rPr>
          <w:sz w:val="22"/>
          <w:szCs w:val="22"/>
          <w:vertAlign w:val="superscript"/>
        </w:rPr>
        <w:t>th</w:t>
      </w:r>
      <w:r>
        <w:rPr>
          <w:sz w:val="22"/>
          <w:szCs w:val="22"/>
        </w:rPr>
        <w:t xml:space="preserve"> eigen vector of </w:t>
      </w:r>
      <m:oMath>
        <m:r>
          <w:rPr>
            <w:rFonts w:ascii="Cambria Math" w:hAnsi="Cambria Math"/>
            <w:sz w:val="22"/>
            <w:szCs w:val="22"/>
          </w:rPr>
          <m:t>4×32</m:t>
        </m:r>
      </m:oMath>
      <w:r>
        <w:rPr>
          <w:sz w:val="22"/>
          <w:szCs w:val="22"/>
        </w:rPr>
        <w:t xml:space="preserve"> channel </w:t>
      </w:r>
      <w:r w:rsidR="00144015">
        <w:rPr>
          <w:sz w:val="22"/>
          <w:szCs w:val="22"/>
        </w:rPr>
        <w:t>matrices</w:t>
      </w:r>
      <w:r>
        <w:rPr>
          <w:sz w:val="22"/>
          <w:szCs w:val="22"/>
        </w:rPr>
        <w:t xml:space="preserve">. </w:t>
      </w:r>
      <w:r w:rsidR="00144015">
        <w:rPr>
          <w:sz w:val="22"/>
          <w:szCs w:val="22"/>
        </w:rPr>
        <w:t>We also tried channel matrices with different number of Tx antenna ports. After scaling, the value distribution seems similar.</w:t>
      </w:r>
    </w:p>
    <w:p w14:paraId="1B729246" w14:textId="77777777" w:rsidR="00144015" w:rsidRDefault="00144015" w:rsidP="00A17182">
      <w:pPr>
        <w:rPr>
          <w:sz w:val="22"/>
          <w:szCs w:val="22"/>
        </w:rPr>
      </w:pPr>
    </w:p>
    <w:p w14:paraId="1B6D728C" w14:textId="77777777" w:rsidR="00FA2D4A" w:rsidRDefault="00144015" w:rsidP="00A17182">
      <w:pPr>
        <w:rPr>
          <w:sz w:val="22"/>
          <w:szCs w:val="22"/>
        </w:rPr>
      </w:pPr>
      <w:r>
        <w:rPr>
          <w:sz w:val="22"/>
          <w:szCs w:val="22"/>
        </w:rPr>
        <w:t xml:space="preserve">If we design the quantization range to cover 99% probability, </w:t>
      </w:r>
      <w:r w:rsidR="00A56EEB">
        <w:rPr>
          <w:sz w:val="22"/>
          <w:szCs w:val="22"/>
        </w:rPr>
        <w:t>e.g., [0.5%, 99.5%], it is roughly [-1.82, 1.82].</w:t>
      </w:r>
      <w:r w:rsidR="002A1A67">
        <w:rPr>
          <w:sz w:val="22"/>
          <w:szCs w:val="22"/>
        </w:rPr>
        <w:t xml:space="preserve"> </w:t>
      </w:r>
      <w:r w:rsidR="00FA2D4A">
        <w:rPr>
          <w:sz w:val="22"/>
          <w:szCs w:val="22"/>
        </w:rPr>
        <w:t>This implies that there is no need to design quantization range as a function of number of target CSIs.</w:t>
      </w:r>
    </w:p>
    <w:p w14:paraId="5E307FA6" w14:textId="77777777" w:rsidR="00FA2D4A" w:rsidRDefault="00FA2D4A" w:rsidP="00A17182">
      <w:pPr>
        <w:rPr>
          <w:sz w:val="22"/>
          <w:szCs w:val="22"/>
        </w:rPr>
      </w:pPr>
    </w:p>
    <w:p w14:paraId="57012C18" w14:textId="029FC97A" w:rsidR="00FA2D4A" w:rsidRDefault="00FA2D4A" w:rsidP="00FA2D4A">
      <w:pPr>
        <w:rPr>
          <w:sz w:val="22"/>
          <w:szCs w:val="22"/>
        </w:rPr>
      </w:pPr>
      <w:r w:rsidRPr="00F92B76">
        <w:rPr>
          <w:b/>
          <w:bCs/>
          <w:color w:val="000000" w:themeColor="text1"/>
          <w:sz w:val="22"/>
          <w:szCs w:val="22"/>
        </w:rPr>
        <w:t xml:space="preserve">Proposal </w:t>
      </w:r>
      <w:r>
        <w:rPr>
          <w:b/>
          <w:bCs/>
          <w:color w:val="000000" w:themeColor="text1"/>
          <w:sz w:val="22"/>
          <w:szCs w:val="22"/>
        </w:rPr>
        <w:t>1</w:t>
      </w:r>
      <w:r w:rsidRPr="00F92B76">
        <w:rPr>
          <w:b/>
          <w:bCs/>
          <w:color w:val="000000" w:themeColor="text1"/>
          <w:sz w:val="22"/>
          <w:szCs w:val="22"/>
        </w:rPr>
        <w:t xml:space="preserve">: </w:t>
      </w:r>
      <w:r>
        <w:rPr>
          <w:b/>
          <w:bCs/>
          <w:color w:val="000000" w:themeColor="text1"/>
          <w:sz w:val="22"/>
          <w:szCs w:val="22"/>
        </w:rPr>
        <w:t xml:space="preserve">Scale the target CSI by </w:t>
      </w:r>
      <m:oMath>
        <m:rad>
          <m:radPr>
            <m:degHide m:val="1"/>
            <m:ctrlPr>
              <w:rPr>
                <w:rFonts w:ascii="Cambria Math" w:hAnsi="Cambria Math"/>
                <w:b/>
                <w:bCs/>
                <w:i/>
                <w:sz w:val="22"/>
                <w:szCs w:val="22"/>
              </w:rPr>
            </m:ctrlPr>
          </m:radPr>
          <m:deg/>
          <m:e>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oMath>
      <w:r>
        <w:rPr>
          <w:b/>
          <w:bCs/>
          <w:sz w:val="22"/>
          <w:szCs w:val="22"/>
        </w:rPr>
        <w:t xml:space="preserve"> and apply fixed quantization range, e.g., [-1.82, 1.82]</w:t>
      </w:r>
      <w:r w:rsidR="00034DA9">
        <w:rPr>
          <w:b/>
          <w:bCs/>
          <w:sz w:val="22"/>
          <w:szCs w:val="22"/>
        </w:rPr>
        <w:t>,</w:t>
      </w:r>
      <w:r>
        <w:rPr>
          <w:b/>
          <w:bCs/>
          <w:sz w:val="22"/>
          <w:szCs w:val="22"/>
        </w:rPr>
        <w:t xml:space="preserve"> for each of the </w:t>
      </w:r>
      <m:oMath>
        <m:sSub>
          <m:sSubPr>
            <m:ctrlPr>
              <w:rPr>
                <w:rFonts w:ascii="Cambria Math" w:hAnsi="Cambria Math"/>
                <w:b/>
                <w:bCs/>
                <w:i/>
                <w:sz w:val="22"/>
                <w:szCs w:val="22"/>
              </w:rPr>
            </m:ctrlPr>
          </m:sSubPr>
          <m:e>
            <m:r>
              <m:rPr>
                <m:sty m:val="bi"/>
              </m:rPr>
              <w:rPr>
                <w:rFonts w:ascii="Cambria Math" w:hAnsi="Cambria Math"/>
                <w:sz w:val="22"/>
                <w:szCs w:val="22"/>
              </w:rPr>
              <m:t>2</m:t>
            </m:r>
            <m:r>
              <m:rPr>
                <m:sty m:val="bi"/>
              </m:rPr>
              <w:rPr>
                <w:rFonts w:ascii="Cambria Math" w:hAnsi="Cambria Math"/>
                <w:sz w:val="22"/>
                <w:szCs w:val="22"/>
              </w:rPr>
              <m:t>N</m:t>
            </m:r>
          </m:e>
          <m:sub>
            <m:r>
              <m:rPr>
                <m:sty m:val="bi"/>
              </m:rPr>
              <w:rPr>
                <w:rFonts w:ascii="Cambria Math" w:hAnsi="Cambria Math"/>
                <w:sz w:val="22"/>
                <w:szCs w:val="22"/>
              </w:rPr>
              <m:t>1</m:t>
            </m:r>
          </m:sub>
        </m:sSub>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2</m:t>
            </m:r>
          </m:sub>
        </m:sSub>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3</m:t>
            </m:r>
          </m:sub>
        </m:sSub>
        <m:r>
          <m:rPr>
            <m:sty m:val="bi"/>
          </m:rPr>
          <w:rPr>
            <w:rFonts w:ascii="Cambria Math" w:hAnsi="Cambria Math"/>
            <w:sz w:val="22"/>
            <w:szCs w:val="22"/>
          </w:rPr>
          <m:t>v</m:t>
        </m:r>
      </m:oMath>
      <w:r>
        <w:rPr>
          <w:b/>
          <w:bCs/>
          <w:sz w:val="22"/>
          <w:szCs w:val="22"/>
        </w:rPr>
        <w:t xml:space="preserve"> </w:t>
      </w:r>
      <w:r w:rsidR="00F9754C">
        <w:rPr>
          <w:b/>
          <w:bCs/>
          <w:sz w:val="22"/>
          <w:szCs w:val="22"/>
        </w:rPr>
        <w:t>real/imaginary part</w:t>
      </w:r>
      <w:r>
        <w:rPr>
          <w:b/>
          <w:bCs/>
          <w:color w:val="000000" w:themeColor="text1"/>
          <w:sz w:val="22"/>
          <w:szCs w:val="22"/>
        </w:rPr>
        <w:t>.</w:t>
      </w:r>
    </w:p>
    <w:p w14:paraId="784EDBDA" w14:textId="630578F9" w:rsidR="00144015" w:rsidRDefault="00144015" w:rsidP="00A17182">
      <w:pPr>
        <w:rPr>
          <w:sz w:val="22"/>
          <w:szCs w:val="22"/>
        </w:rPr>
      </w:pPr>
    </w:p>
    <w:p w14:paraId="60F88B5D" w14:textId="2068010D" w:rsidR="007A480C" w:rsidRDefault="00A9380F" w:rsidP="007A480C">
      <w:pPr>
        <w:keepNext/>
        <w:jc w:val="center"/>
      </w:pPr>
      <w:r>
        <w:rPr>
          <w:noProof/>
        </w:rPr>
        <w:drawing>
          <wp:inline distT="0" distB="0" distL="0" distR="0" wp14:anchorId="50FD05BF" wp14:editId="0C965EAB">
            <wp:extent cx="2963562" cy="2224314"/>
            <wp:effectExtent l="0" t="0" r="0" b="0"/>
            <wp:docPr id="6311211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21186" name="Picture 631121186"/>
                    <pic:cNvPicPr/>
                  </pic:nvPicPr>
                  <pic:blipFill>
                    <a:blip r:embed="rId6"/>
                    <a:stretch>
                      <a:fillRect/>
                    </a:stretch>
                  </pic:blipFill>
                  <pic:spPr>
                    <a:xfrm>
                      <a:off x="0" y="0"/>
                      <a:ext cx="2972788" cy="2231239"/>
                    </a:xfrm>
                    <a:prstGeom prst="rect">
                      <a:avLst/>
                    </a:prstGeom>
                  </pic:spPr>
                </pic:pic>
              </a:graphicData>
            </a:graphic>
          </wp:inline>
        </w:drawing>
      </w:r>
    </w:p>
    <w:p w14:paraId="48D7909D" w14:textId="1F8773CF" w:rsidR="00B778CD" w:rsidRPr="007A480C" w:rsidRDefault="007A480C" w:rsidP="007A480C">
      <w:pPr>
        <w:pStyle w:val="Caption"/>
        <w:rPr>
          <w:sz w:val="22"/>
          <w:szCs w:val="22"/>
        </w:rPr>
      </w:pPr>
      <w:bookmarkStart w:id="2" w:name="_Ref212736572"/>
      <w:r w:rsidRPr="007A480C">
        <w:rPr>
          <w:sz w:val="22"/>
          <w:szCs w:val="22"/>
        </w:rPr>
        <w:t xml:space="preserve">Figure </w:t>
      </w:r>
      <w:r w:rsidRPr="007A480C">
        <w:rPr>
          <w:sz w:val="22"/>
          <w:szCs w:val="22"/>
        </w:rPr>
        <w:fldChar w:fldCharType="begin"/>
      </w:r>
      <w:r w:rsidRPr="007A480C">
        <w:rPr>
          <w:sz w:val="22"/>
          <w:szCs w:val="22"/>
        </w:rPr>
        <w:instrText xml:space="preserve"> SEQ Figure \* ARABIC </w:instrText>
      </w:r>
      <w:r w:rsidRPr="007A480C">
        <w:rPr>
          <w:sz w:val="22"/>
          <w:szCs w:val="22"/>
        </w:rPr>
        <w:fldChar w:fldCharType="separate"/>
      </w:r>
      <w:r w:rsidR="00E73371">
        <w:rPr>
          <w:noProof/>
          <w:sz w:val="22"/>
          <w:szCs w:val="22"/>
        </w:rPr>
        <w:t>1</w:t>
      </w:r>
      <w:r w:rsidRPr="007A480C">
        <w:rPr>
          <w:sz w:val="22"/>
          <w:szCs w:val="22"/>
        </w:rPr>
        <w:fldChar w:fldCharType="end"/>
      </w:r>
      <w:bookmarkEnd w:id="2"/>
      <w:r>
        <w:rPr>
          <w:sz w:val="22"/>
          <w:szCs w:val="22"/>
        </w:rPr>
        <w:t>: value distribution of a real/imaginary part</w:t>
      </w:r>
      <w:r w:rsidR="008934F3">
        <w:rPr>
          <w:sz w:val="22"/>
          <w:szCs w:val="22"/>
        </w:rPr>
        <w:t xml:space="preserve"> of eigen vectors</w:t>
      </w:r>
    </w:p>
    <w:p w14:paraId="3FA3EDB5" w14:textId="4849B248" w:rsidR="00457D81" w:rsidRDefault="000B26C9" w:rsidP="00A17182">
      <w:pPr>
        <w:rPr>
          <w:sz w:val="22"/>
          <w:szCs w:val="22"/>
        </w:rPr>
      </w:pPr>
      <w:r>
        <w:rPr>
          <w:sz w:val="22"/>
          <w:szCs w:val="22"/>
        </w:rPr>
        <w:t>After determining the quantization range, we then tested the SGCS inference performance using a model trained by quantized CSI with different number of quantization bits.</w:t>
      </w:r>
      <w:r w:rsidR="009C2E5B">
        <w:rPr>
          <w:sz w:val="22"/>
          <w:szCs w:val="22"/>
        </w:rPr>
        <w:t xml:space="preserve"> For latent</w:t>
      </w:r>
      <w:r w:rsidR="00035913">
        <w:rPr>
          <w:sz w:val="22"/>
          <w:szCs w:val="22"/>
        </w:rPr>
        <w:t xml:space="preserve"> quantization</w:t>
      </w:r>
      <w:r w:rsidR="009C2E5B">
        <w:rPr>
          <w:sz w:val="22"/>
          <w:szCs w:val="22"/>
        </w:rPr>
        <w:t>, we tried three different quantization parameters with the same payload sizes.</w:t>
      </w:r>
      <w:r w:rsidR="00D216D9">
        <w:rPr>
          <w:sz w:val="22"/>
          <w:szCs w:val="22"/>
        </w:rPr>
        <w:t xml:space="preserve"> That are SQ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=2</m:t>
            </m:r>
          </m:e>
        </m:d>
      </m:oMath>
      <w:r w:rsidR="00D216D9">
        <w:rPr>
          <w:sz w:val="22"/>
          <w:szCs w:val="22"/>
        </w:rPr>
        <w:t xml:space="preserve">, VQ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L=2,</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=4</m:t>
            </m:r>
          </m:e>
        </m:d>
      </m:oMath>
      <w:r w:rsidR="00D216D9">
        <w:rPr>
          <w:sz w:val="22"/>
          <w:szCs w:val="22"/>
        </w:rPr>
        <w:t xml:space="preserve"> and VQ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d</m:t>
                </m:r>
              </m:e>
              <m:sup>
                <m:r>
                  <m:rPr>
                    <m:sty m:val="p"/>
                  </m:rPr>
                  <w:rPr>
                    <w:rFonts w:ascii="Cambria Math" w:hAnsi="Cambria Math"/>
                    <w:sz w:val="22"/>
                    <w:szCs w:val="22"/>
                  </w:rPr>
                  <m:t>l,ν</m:t>
                </m:r>
              </m:sup>
            </m:sSup>
            <m:r>
              <m:rPr>
                <m:sty m:val="p"/>
              </m:rPr>
              <w:rPr>
                <w:rFonts w:ascii="Cambria Math" w:hAnsi="Cambria Math"/>
                <w:sz w:val="22"/>
                <w:szCs w:val="22"/>
              </w:rPr>
              <m:t>, L=4,</m:t>
            </m:r>
            <m:sSup>
              <m:sSupPr>
                <m:ctrlPr>
                  <w:rPr>
                    <w:rFonts w:ascii="Cambria Math" w:hAnsi="Cambria Math"/>
                    <w:sz w:val="22"/>
                    <w:szCs w:val="22"/>
                  </w:rPr>
                </m:ctrlPr>
              </m:sSupPr>
              <m:e>
                <m:r>
                  <m:rPr>
                    <m:sty m:val="p"/>
                  </m:rPr>
                  <w:rPr>
                    <w:rFonts w:ascii="Cambria Math" w:hAnsi="Cambria Math"/>
                    <w:sz w:val="22"/>
                    <w:szCs w:val="22"/>
                  </w:rPr>
                  <m:t>Q</m:t>
                </m:r>
              </m:e>
              <m:sup>
                <m:r>
                  <m:rPr>
                    <m:sty m:val="p"/>
                  </m:rPr>
                  <w:rPr>
                    <w:rFonts w:ascii="Cambria Math" w:hAnsi="Cambria Math"/>
                    <w:sz w:val="22"/>
                    <w:szCs w:val="22"/>
                  </w:rPr>
                  <m:t>l,ν</m:t>
                </m:r>
              </m:sup>
            </m:sSup>
            <m:r>
              <w:rPr>
                <w:rFonts w:ascii="Cambria Math" w:hAnsi="Cambria Math"/>
                <w:sz w:val="22"/>
                <w:szCs w:val="22"/>
              </w:rPr>
              <m:t>=8</m:t>
            </m:r>
          </m:e>
        </m:d>
      </m:oMath>
      <w:r w:rsidR="00D216D9">
        <w:rPr>
          <w:sz w:val="22"/>
          <w:szCs w:val="22"/>
        </w:rPr>
        <w:t>.</w:t>
      </w:r>
    </w:p>
    <w:p w14:paraId="3C2D20B6" w14:textId="77777777" w:rsidR="00C7788C" w:rsidRDefault="00C7788C" w:rsidP="00A17182">
      <w:pPr>
        <w:rPr>
          <w:sz w:val="22"/>
          <w:szCs w:val="22"/>
        </w:rPr>
      </w:pPr>
    </w:p>
    <w:p w14:paraId="0FC10193" w14:textId="4850866C" w:rsidR="00E73371" w:rsidRDefault="00C7788C" w:rsidP="00E73371">
      <w:pPr>
        <w:keepNext/>
      </w:pPr>
      <w:r w:rsidRPr="00C7788C">
        <w:rPr>
          <w:noProof/>
          <w:sz w:val="22"/>
          <w:szCs w:val="22"/>
        </w:rPr>
        <w:drawing>
          <wp:inline distT="0" distB="0" distL="0" distR="0" wp14:anchorId="39EEFD95" wp14:editId="335268BE">
            <wp:extent cx="2206959" cy="1655219"/>
            <wp:effectExtent l="0" t="0" r="3175" b="0"/>
            <wp:docPr id="106117492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174927" name="Picture 1" descr="A graph of different colored lines&#10;&#10;AI-generated content may be incorrect."/>
                    <pic:cNvPicPr/>
                  </pic:nvPicPr>
                  <pic:blipFill>
                    <a:blip r:embed="rId7"/>
                    <a:stretch>
                      <a:fillRect/>
                    </a:stretch>
                  </pic:blipFill>
                  <pic:spPr>
                    <a:xfrm>
                      <a:off x="0" y="0"/>
                      <a:ext cx="2274628" cy="1705971"/>
                    </a:xfrm>
                    <a:prstGeom prst="rect">
                      <a:avLst/>
                    </a:prstGeom>
                  </pic:spPr>
                </pic:pic>
              </a:graphicData>
            </a:graphic>
          </wp:inline>
        </w:drawing>
      </w:r>
      <w:r w:rsidR="00962D0D">
        <w:t xml:space="preserve">              </w:t>
      </w:r>
      <w:r w:rsidR="00E73371" w:rsidRPr="00C7788C">
        <w:rPr>
          <w:noProof/>
          <w:sz w:val="22"/>
          <w:szCs w:val="22"/>
        </w:rPr>
        <w:drawing>
          <wp:inline distT="0" distB="0" distL="0" distR="0" wp14:anchorId="425C45CB" wp14:editId="2D1E6703">
            <wp:extent cx="2318547" cy="1739939"/>
            <wp:effectExtent l="0" t="0" r="5715" b="0"/>
            <wp:docPr id="779469708"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69708" name="Picture 1" descr="A graph with different colored lines&#10;&#10;AI-generated content may be incorrect."/>
                    <pic:cNvPicPr/>
                  </pic:nvPicPr>
                  <pic:blipFill>
                    <a:blip r:embed="rId8"/>
                    <a:stretch>
                      <a:fillRect/>
                    </a:stretch>
                  </pic:blipFill>
                  <pic:spPr>
                    <a:xfrm>
                      <a:off x="0" y="0"/>
                      <a:ext cx="2440633" cy="1831557"/>
                    </a:xfrm>
                    <a:prstGeom prst="rect">
                      <a:avLst/>
                    </a:prstGeom>
                  </pic:spPr>
                </pic:pic>
              </a:graphicData>
            </a:graphic>
          </wp:inline>
        </w:drawing>
      </w:r>
    </w:p>
    <w:p w14:paraId="21440A50" w14:textId="3051C960" w:rsidR="00E73371" w:rsidRDefault="00E73371" w:rsidP="00E73371">
      <w:pPr>
        <w:pStyle w:val="Caption"/>
        <w:jc w:val="left"/>
        <w:rPr>
          <w:sz w:val="22"/>
          <w:szCs w:val="22"/>
        </w:rPr>
      </w:pPr>
      <w:r>
        <w:rPr>
          <w:sz w:val="22"/>
          <w:szCs w:val="22"/>
        </w:rPr>
        <w:t xml:space="preserve"> </w:t>
      </w:r>
      <w:r w:rsidRPr="00E73371">
        <w:rPr>
          <w:sz w:val="22"/>
          <w:szCs w:val="22"/>
        </w:rPr>
        <w:t xml:space="preserve">Figure </w:t>
      </w:r>
      <w:r w:rsidRPr="00E73371">
        <w:rPr>
          <w:sz w:val="22"/>
          <w:szCs w:val="22"/>
        </w:rPr>
        <w:fldChar w:fldCharType="begin"/>
      </w:r>
      <w:r w:rsidRPr="00E73371">
        <w:rPr>
          <w:sz w:val="22"/>
          <w:szCs w:val="22"/>
        </w:rPr>
        <w:instrText xml:space="preserve"> SEQ Figure \* ARABIC </w:instrText>
      </w:r>
      <w:r w:rsidRPr="00E73371">
        <w:rPr>
          <w:sz w:val="22"/>
          <w:szCs w:val="22"/>
        </w:rPr>
        <w:fldChar w:fldCharType="separate"/>
      </w:r>
      <w:r>
        <w:rPr>
          <w:noProof/>
          <w:sz w:val="22"/>
          <w:szCs w:val="22"/>
        </w:rPr>
        <w:t>2</w:t>
      </w:r>
      <w:r w:rsidRPr="00E73371">
        <w:rPr>
          <w:sz w:val="22"/>
          <w:szCs w:val="22"/>
        </w:rPr>
        <w:fldChar w:fldCharType="end"/>
      </w:r>
      <w:r>
        <w:rPr>
          <w:sz w:val="22"/>
          <w:szCs w:val="22"/>
        </w:rPr>
        <w:t xml:space="preserve">: SGCS </w:t>
      </w:r>
      <w:r w:rsidRPr="00E73371">
        <w:rPr>
          <w:sz w:val="22"/>
          <w:szCs w:val="22"/>
        </w:rPr>
        <w:t xml:space="preserve">for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L=2,</m:t>
            </m:r>
            <m:sSup>
              <m:sSupPr>
                <m:ctrlPr>
                  <w:rPr>
                    <w:rFonts w:ascii="Cambria Math" w:hAnsi="Cambria Math"/>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=4</m:t>
            </m:r>
          </m:e>
        </m:d>
      </m:oMath>
      <w:r>
        <w:rPr>
          <w:sz w:val="22"/>
          <w:szCs w:val="22"/>
        </w:rPr>
        <w:t xml:space="preserve">      </w:t>
      </w:r>
      <w:r w:rsidR="00962D0D">
        <w:rPr>
          <w:sz w:val="22"/>
          <w:szCs w:val="22"/>
        </w:rPr>
        <w:t xml:space="preserve">   </w:t>
      </w:r>
      <w:r w:rsidRPr="0090525D">
        <w:rPr>
          <w:sz w:val="22"/>
          <w:szCs w:val="22"/>
        </w:rPr>
        <w:t xml:space="preserve">Figure </w:t>
      </w:r>
      <w:r w:rsidRPr="0090525D">
        <w:rPr>
          <w:sz w:val="22"/>
          <w:szCs w:val="22"/>
        </w:rPr>
        <w:fldChar w:fldCharType="begin"/>
      </w:r>
      <w:r w:rsidRPr="0090525D">
        <w:rPr>
          <w:sz w:val="22"/>
          <w:szCs w:val="22"/>
        </w:rPr>
        <w:instrText xml:space="preserve"> SEQ Figure \* ARABIC </w:instrText>
      </w:r>
      <w:r w:rsidRPr="0090525D">
        <w:rPr>
          <w:sz w:val="22"/>
          <w:szCs w:val="22"/>
        </w:rPr>
        <w:fldChar w:fldCharType="separate"/>
      </w:r>
      <w:r w:rsidRPr="0090525D">
        <w:rPr>
          <w:noProof/>
          <w:sz w:val="22"/>
          <w:szCs w:val="22"/>
        </w:rPr>
        <w:t>3</w:t>
      </w:r>
      <w:r w:rsidRPr="0090525D">
        <w:rPr>
          <w:sz w:val="22"/>
          <w:szCs w:val="22"/>
        </w:rPr>
        <w:fldChar w:fldCharType="end"/>
      </w:r>
      <w:r w:rsidRPr="0090525D">
        <w:rPr>
          <w:sz w:val="22"/>
          <w:szCs w:val="22"/>
        </w:rPr>
        <w:t xml:space="preserve">: SGCS for </w:t>
      </w:r>
      <m:oMath>
        <m:d>
          <m:dPr>
            <m:begChr m:val="{"/>
            <m:endChr m:val="}"/>
            <m:ctrlPr>
              <w:rPr>
                <w:rFonts w:ascii="Cambria Math" w:hAnsi="Cambria Math"/>
                <w:sz w:val="22"/>
                <w:szCs w:val="22"/>
              </w:rPr>
            </m:ctrlPr>
          </m:dPr>
          <m:e>
            <m:sSup>
              <m:sSupPr>
                <m:ctrlPr>
                  <w:rPr>
                    <w:rFonts w:ascii="Cambria Math" w:hAnsi="Cambria Math"/>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L=4,</m:t>
            </m:r>
            <m:sSup>
              <m:sSupPr>
                <m:ctrlPr>
                  <w:rPr>
                    <w:rFonts w:ascii="Cambria Math" w:hAnsi="Cambria Math"/>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=8</m:t>
            </m:r>
          </m:e>
        </m:d>
      </m:oMath>
    </w:p>
    <w:p w14:paraId="781728F5" w14:textId="77777777" w:rsidR="00962D0D" w:rsidRDefault="00962D0D" w:rsidP="00962D0D"/>
    <w:p w14:paraId="17A8AA24" w14:textId="12B2430A" w:rsidR="00962D0D" w:rsidRDefault="00962D0D" w:rsidP="00962D0D">
      <w:r>
        <w:rPr>
          <w:noProof/>
        </w:rPr>
        <w:drawing>
          <wp:inline distT="0" distB="0" distL="0" distR="0" wp14:anchorId="5BC2A05C" wp14:editId="708C7C48">
            <wp:extent cx="2206625" cy="1656192"/>
            <wp:effectExtent l="0" t="0" r="3175" b="0"/>
            <wp:docPr id="72465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190" name="Picture 72465190"/>
                    <pic:cNvPicPr/>
                  </pic:nvPicPr>
                  <pic:blipFill>
                    <a:blip r:embed="rId9"/>
                    <a:stretch>
                      <a:fillRect/>
                    </a:stretch>
                  </pic:blipFill>
                  <pic:spPr>
                    <a:xfrm>
                      <a:off x="0" y="0"/>
                      <a:ext cx="2265354" cy="1700271"/>
                    </a:xfrm>
                    <a:prstGeom prst="rect">
                      <a:avLst/>
                    </a:prstGeom>
                  </pic:spPr>
                </pic:pic>
              </a:graphicData>
            </a:graphic>
          </wp:inline>
        </w:drawing>
      </w:r>
    </w:p>
    <w:p w14:paraId="74E1C59A" w14:textId="24D46E32" w:rsidR="00962D0D" w:rsidRPr="00962D0D" w:rsidRDefault="00D62B6A" w:rsidP="00962D0D">
      <w:pPr>
        <w:rPr>
          <w:b/>
          <w:bCs/>
        </w:rPr>
      </w:pPr>
      <w:r>
        <w:rPr>
          <w:b/>
          <w:bCs/>
          <w:sz w:val="22"/>
          <w:szCs w:val="22"/>
        </w:rPr>
        <w:t xml:space="preserve">      </w:t>
      </w:r>
      <w:r w:rsidR="00962D0D" w:rsidRPr="00962D0D">
        <w:rPr>
          <w:b/>
          <w:bCs/>
          <w:sz w:val="22"/>
          <w:szCs w:val="22"/>
        </w:rPr>
        <w:t xml:space="preserve">Figure </w:t>
      </w:r>
      <w:r w:rsidR="00962D0D" w:rsidRPr="00962D0D">
        <w:rPr>
          <w:b/>
          <w:bCs/>
          <w:sz w:val="22"/>
          <w:szCs w:val="22"/>
        </w:rPr>
        <w:fldChar w:fldCharType="begin"/>
      </w:r>
      <w:r w:rsidR="00962D0D" w:rsidRPr="00962D0D">
        <w:rPr>
          <w:b/>
          <w:bCs/>
          <w:sz w:val="22"/>
          <w:szCs w:val="22"/>
        </w:rPr>
        <w:instrText xml:space="preserve"> SEQ Figure \* ARABIC </w:instrText>
      </w:r>
      <w:r w:rsidR="00962D0D" w:rsidRPr="00962D0D">
        <w:rPr>
          <w:b/>
          <w:bCs/>
          <w:sz w:val="22"/>
          <w:szCs w:val="22"/>
        </w:rPr>
        <w:fldChar w:fldCharType="separate"/>
      </w:r>
      <w:r w:rsidR="0019658A">
        <w:rPr>
          <w:b/>
          <w:bCs/>
          <w:noProof/>
          <w:sz w:val="22"/>
          <w:szCs w:val="22"/>
        </w:rPr>
        <w:t>4</w:t>
      </w:r>
      <w:r w:rsidR="00962D0D" w:rsidRPr="00962D0D">
        <w:rPr>
          <w:b/>
          <w:bCs/>
          <w:sz w:val="22"/>
          <w:szCs w:val="22"/>
        </w:rPr>
        <w:fldChar w:fldCharType="end"/>
      </w:r>
      <w:r w:rsidR="00962D0D" w:rsidRPr="00962D0D">
        <w:rPr>
          <w:b/>
          <w:bCs/>
          <w:sz w:val="22"/>
          <w:szCs w:val="22"/>
        </w:rPr>
        <w:t xml:space="preserve">: SGCS for </w:t>
      </w:r>
      <m:oMath>
        <m:d>
          <m:dPr>
            <m:begChr m:val="{"/>
            <m:endChr m:val="}"/>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d</m:t>
                </m:r>
              </m:e>
              <m:sup>
                <m:r>
                  <m:rPr>
                    <m:sty m:val="b"/>
                  </m:rPr>
                  <w:rPr>
                    <w:rFonts w:ascii="Cambria Math" w:hAnsi="Cambria Math"/>
                    <w:sz w:val="22"/>
                    <w:szCs w:val="22"/>
                  </w:rPr>
                  <m:t>l,ν</m:t>
                </m:r>
              </m:sup>
            </m:sSup>
            <m:r>
              <m:rPr>
                <m:sty m:val="b"/>
              </m:rPr>
              <w:rPr>
                <w:rFonts w:ascii="Cambria Math" w:hAnsi="Cambria Math"/>
                <w:sz w:val="22"/>
                <w:szCs w:val="22"/>
              </w:rPr>
              <m:t xml:space="preserve">, </m:t>
            </m:r>
            <m:sSup>
              <m:sSupPr>
                <m:ctrlPr>
                  <w:rPr>
                    <w:rFonts w:ascii="Cambria Math" w:hAnsi="Cambria Math"/>
                    <w:b/>
                    <w:bCs/>
                    <w:sz w:val="22"/>
                    <w:szCs w:val="22"/>
                  </w:rPr>
                </m:ctrlPr>
              </m:sSupPr>
              <m:e>
                <m:r>
                  <m:rPr>
                    <m:sty m:val="b"/>
                  </m:rPr>
                  <w:rPr>
                    <w:rFonts w:ascii="Cambria Math" w:hAnsi="Cambria Math"/>
                    <w:sz w:val="22"/>
                    <w:szCs w:val="22"/>
                  </w:rPr>
                  <m:t>Q</m:t>
                </m:r>
              </m:e>
              <m:sup>
                <m:r>
                  <m:rPr>
                    <m:sty m:val="b"/>
                  </m:rPr>
                  <w:rPr>
                    <w:rFonts w:ascii="Cambria Math" w:hAnsi="Cambria Math"/>
                    <w:sz w:val="22"/>
                    <w:szCs w:val="22"/>
                  </w:rPr>
                  <m:t>l,ν</m:t>
                </m:r>
              </m:sup>
            </m:sSup>
            <m:r>
              <m:rPr>
                <m:sty m:val="bi"/>
              </m:rPr>
              <w:rPr>
                <w:rFonts w:ascii="Cambria Math" w:hAnsi="Cambria Math"/>
                <w:sz w:val="22"/>
                <w:szCs w:val="22"/>
              </w:rPr>
              <m:t>=2</m:t>
            </m:r>
          </m:e>
        </m:d>
      </m:oMath>
    </w:p>
    <w:p w14:paraId="4223EFEB" w14:textId="77777777" w:rsidR="0090525D" w:rsidRDefault="0090525D" w:rsidP="00050630"/>
    <w:p w14:paraId="55E73B6A" w14:textId="5537361E" w:rsidR="00050630" w:rsidRPr="00050630" w:rsidRDefault="00050630" w:rsidP="00050630">
      <w:r>
        <w:t xml:space="preserve">From the SGCS results, </w:t>
      </w:r>
      <w:proofErr w:type="gramStart"/>
      <w:r>
        <w:t>it can be seen that 5bits</w:t>
      </w:r>
      <w:proofErr w:type="gramEnd"/>
      <w:r>
        <w:t xml:space="preserve"> for a real/or an imaginary part is enough to achieve good training data set quantization performance.</w:t>
      </w:r>
    </w:p>
    <w:p w14:paraId="5C3C3962" w14:textId="41B5ABB8" w:rsidR="00C7788C" w:rsidRDefault="00C7788C" w:rsidP="00A17182">
      <w:pPr>
        <w:rPr>
          <w:sz w:val="22"/>
          <w:szCs w:val="22"/>
        </w:rPr>
      </w:pPr>
    </w:p>
    <w:p w14:paraId="4D8C6FD7" w14:textId="629EDAC3" w:rsidR="00472B77" w:rsidRDefault="00472B77" w:rsidP="00472B77">
      <w:pPr>
        <w:rPr>
          <w:sz w:val="22"/>
          <w:szCs w:val="22"/>
        </w:rPr>
      </w:pPr>
      <w:r w:rsidRPr="00F92B76">
        <w:rPr>
          <w:b/>
          <w:bCs/>
          <w:color w:val="000000" w:themeColor="text1"/>
          <w:sz w:val="22"/>
          <w:szCs w:val="22"/>
        </w:rPr>
        <w:t xml:space="preserve">Proposal </w:t>
      </w:r>
      <w:r>
        <w:rPr>
          <w:b/>
          <w:bCs/>
          <w:color w:val="000000" w:themeColor="text1"/>
          <w:sz w:val="22"/>
          <w:szCs w:val="22"/>
        </w:rPr>
        <w:t>2</w:t>
      </w:r>
      <w:r w:rsidRPr="00F92B76">
        <w:rPr>
          <w:b/>
          <w:bCs/>
          <w:color w:val="000000" w:themeColor="text1"/>
          <w:sz w:val="22"/>
          <w:szCs w:val="22"/>
        </w:rPr>
        <w:t>: For</w:t>
      </w:r>
      <w:r>
        <w:rPr>
          <w:b/>
          <w:bCs/>
          <w:color w:val="000000" w:themeColor="text1"/>
          <w:sz w:val="22"/>
          <w:szCs w:val="22"/>
        </w:rPr>
        <w:t xml:space="preserve"> NW side data collection option 1, 5bits per real or imaginary part scalar quantization is adopted to evenly quantize each real or imaginary part within range of [-1.82, 1.82].</w:t>
      </w:r>
    </w:p>
    <w:p w14:paraId="16256413" w14:textId="77777777" w:rsidR="00E73371" w:rsidRPr="000B26C9" w:rsidRDefault="00E73371" w:rsidP="00A17182">
      <w:pPr>
        <w:rPr>
          <w:sz w:val="22"/>
          <w:szCs w:val="22"/>
        </w:rPr>
      </w:pPr>
    </w:p>
    <w:p w14:paraId="67D9099A" w14:textId="3BA1B5E0" w:rsidR="004B3E54" w:rsidRDefault="00751713" w:rsidP="006005B3">
      <w:pPr>
        <w:rPr>
          <w:sz w:val="22"/>
          <w:szCs w:val="22"/>
        </w:rPr>
      </w:pPr>
      <w:r w:rsidRPr="00B23E81">
        <w:rPr>
          <w:i/>
          <w:iCs/>
          <w:sz w:val="22"/>
          <w:szCs w:val="22"/>
          <w:u w:val="single"/>
        </w:rPr>
        <w:t>NW side data collection</w:t>
      </w:r>
      <w:r>
        <w:rPr>
          <w:i/>
          <w:iCs/>
          <w:sz w:val="22"/>
          <w:szCs w:val="22"/>
          <w:u w:val="single"/>
        </w:rPr>
        <w:t xml:space="preserve"> based on </w:t>
      </w:r>
      <w:proofErr w:type="spellStart"/>
      <w:r w:rsidR="004C04DC">
        <w:rPr>
          <w:i/>
          <w:iCs/>
          <w:sz w:val="22"/>
          <w:szCs w:val="22"/>
          <w:u w:val="single"/>
        </w:rPr>
        <w:t>eTypeII</w:t>
      </w:r>
      <w:proofErr w:type="spellEnd"/>
      <w:r w:rsidRPr="00B23E81">
        <w:rPr>
          <w:i/>
          <w:iCs/>
          <w:sz w:val="22"/>
          <w:szCs w:val="22"/>
          <w:u w:val="single"/>
        </w:rPr>
        <w:t>:</w:t>
      </w:r>
    </w:p>
    <w:p w14:paraId="4D979F76" w14:textId="77777777" w:rsidR="004B3E54" w:rsidRDefault="004B3E54" w:rsidP="006005B3">
      <w:pPr>
        <w:rPr>
          <w:sz w:val="22"/>
          <w:szCs w:val="22"/>
        </w:rPr>
      </w:pPr>
    </w:p>
    <w:p w14:paraId="32EE3FA5" w14:textId="2F17D3B8" w:rsidR="006005B3" w:rsidRPr="006005B3" w:rsidRDefault="009A16F3" w:rsidP="006005B3">
      <w:pPr>
        <w:rPr>
          <w:sz w:val="22"/>
          <w:szCs w:val="22"/>
        </w:rPr>
      </w:pPr>
      <w:r>
        <w:rPr>
          <w:sz w:val="22"/>
          <w:szCs w:val="22"/>
        </w:rPr>
        <w:t xml:space="preserve">With reduced complexity SVD for scalar </w:t>
      </w:r>
      <w:r w:rsidR="00D167D2">
        <w:rPr>
          <w:sz w:val="22"/>
          <w:szCs w:val="22"/>
        </w:rPr>
        <w:t>quantization-based</w:t>
      </w:r>
      <w:r>
        <w:rPr>
          <w:sz w:val="22"/>
          <w:szCs w:val="22"/>
        </w:rPr>
        <w:t xml:space="preserve"> training data collection, </w:t>
      </w:r>
      <w:proofErr w:type="spellStart"/>
      <w:r w:rsidR="003C06AB">
        <w:rPr>
          <w:sz w:val="22"/>
          <w:szCs w:val="22"/>
        </w:rPr>
        <w:t>eTypeII</w:t>
      </w:r>
      <w:proofErr w:type="spellEnd"/>
      <w:r w:rsidR="003C06AB">
        <w:rPr>
          <w:sz w:val="22"/>
          <w:szCs w:val="22"/>
        </w:rPr>
        <w:t xml:space="preserve"> based training data collection does not seem to have a</w:t>
      </w:r>
      <w:r w:rsidR="00A876A0">
        <w:rPr>
          <w:sz w:val="22"/>
          <w:szCs w:val="22"/>
        </w:rPr>
        <w:t>n</w:t>
      </w:r>
      <w:r w:rsidR="003C06AB">
        <w:rPr>
          <w:sz w:val="22"/>
          <w:szCs w:val="22"/>
        </w:rPr>
        <w:t xml:space="preserve"> </w:t>
      </w:r>
      <w:r w:rsidR="00DA3FAC">
        <w:rPr>
          <w:sz w:val="22"/>
          <w:szCs w:val="22"/>
        </w:rPr>
        <w:t xml:space="preserve">obvious </w:t>
      </w:r>
      <w:r w:rsidR="003C06AB">
        <w:rPr>
          <w:sz w:val="22"/>
          <w:szCs w:val="22"/>
        </w:rPr>
        <w:t xml:space="preserve">complexity advantage. </w:t>
      </w:r>
      <w:r w:rsidR="00D167D2">
        <w:rPr>
          <w:sz w:val="22"/>
          <w:szCs w:val="22"/>
        </w:rPr>
        <w:t xml:space="preserve">Instead, the spatial/frequency basis search becomes a dominant factor in its complexity. </w:t>
      </w:r>
      <w:r w:rsidR="00805D52">
        <w:rPr>
          <w:sz w:val="22"/>
          <w:szCs w:val="22"/>
        </w:rPr>
        <w:t>Especially for larger number of spatial/frequency basis as proposed to achieve high accuracy ground truth quantization.</w:t>
      </w:r>
      <w:r w:rsidR="00623478">
        <w:rPr>
          <w:sz w:val="22"/>
          <w:szCs w:val="22"/>
        </w:rPr>
        <w:t xml:space="preserve"> Additionally, i</w:t>
      </w:r>
      <w:r w:rsidR="006005B3" w:rsidRPr="006005B3">
        <w:rPr>
          <w:sz w:val="22"/>
          <w:szCs w:val="22"/>
        </w:rPr>
        <w:t xml:space="preserve">n </w:t>
      </w:r>
      <w:r w:rsidR="00623478">
        <w:rPr>
          <w:sz w:val="22"/>
          <w:szCs w:val="22"/>
        </w:rPr>
        <w:t>legacy</w:t>
      </w:r>
      <w:r w:rsidR="006005B3" w:rsidRPr="006005B3">
        <w:rPr>
          <w:sz w:val="22"/>
          <w:szCs w:val="22"/>
        </w:rPr>
        <w:t>,</w:t>
      </w:r>
      <w:r w:rsidR="006005B3">
        <w:rPr>
          <w:sz w:val="22"/>
          <w:szCs w:val="22"/>
        </w:rPr>
        <w:t xml:space="preserve"> support of</w:t>
      </w:r>
      <w:r w:rsidR="006005B3" w:rsidRPr="006005B3">
        <w:rPr>
          <w:sz w:val="22"/>
          <w:szCs w:val="22"/>
        </w:rPr>
        <w:t xml:space="preserve"> e-Type 2</w:t>
      </w:r>
      <w:r w:rsidR="006005B3">
        <w:rPr>
          <w:sz w:val="22"/>
          <w:szCs w:val="22"/>
        </w:rPr>
        <w:t xml:space="preserve"> codebook </w:t>
      </w:r>
      <w:r w:rsidR="000159EB">
        <w:rPr>
          <w:sz w:val="22"/>
          <w:szCs w:val="22"/>
        </w:rPr>
        <w:t xml:space="preserve">itself </w:t>
      </w:r>
      <w:r w:rsidR="006005B3">
        <w:rPr>
          <w:sz w:val="22"/>
          <w:szCs w:val="22"/>
        </w:rPr>
        <w:t xml:space="preserve">is </w:t>
      </w:r>
      <w:r w:rsidR="00B616C1">
        <w:rPr>
          <w:sz w:val="22"/>
          <w:szCs w:val="22"/>
        </w:rPr>
        <w:t xml:space="preserve">a </w:t>
      </w:r>
      <w:r w:rsidR="006005B3" w:rsidRPr="006005B3">
        <w:rPr>
          <w:sz w:val="22"/>
          <w:szCs w:val="22"/>
        </w:rPr>
        <w:t xml:space="preserve">UE capability. A </w:t>
      </w:r>
      <w:r w:rsidR="006005B3">
        <w:rPr>
          <w:sz w:val="22"/>
          <w:szCs w:val="22"/>
        </w:rPr>
        <w:t>basic</w:t>
      </w:r>
      <w:r w:rsidR="006005B3" w:rsidRPr="006005B3">
        <w:rPr>
          <w:sz w:val="22"/>
          <w:szCs w:val="22"/>
        </w:rPr>
        <w:t xml:space="preserve"> feature of the e-Type 2 codebook includes support for L=2 and L=4. When using L1 reports to collect training data, legacy MIMO UE features can be reused.</w:t>
      </w:r>
    </w:p>
    <w:p w14:paraId="720F5412" w14:textId="0AC43CA9" w:rsidR="006005B3" w:rsidRDefault="006005B3" w:rsidP="006005B3">
      <w:pPr>
        <w:rPr>
          <w:sz w:val="22"/>
          <w:szCs w:val="22"/>
        </w:rPr>
      </w:pPr>
    </w:p>
    <w:p w14:paraId="62D0AADD" w14:textId="2FC1ADA5" w:rsidR="006005B3" w:rsidRDefault="006005B3" w:rsidP="00A17182">
      <w:pPr>
        <w:rPr>
          <w:sz w:val="22"/>
          <w:szCs w:val="22"/>
        </w:rPr>
      </w:pPr>
      <w:r w:rsidRPr="006005B3">
        <w:rPr>
          <w:sz w:val="22"/>
          <w:szCs w:val="22"/>
        </w:rPr>
        <w:t xml:space="preserve">As observed, using </w:t>
      </w:r>
      <w:r w:rsidR="00B55087">
        <w:rPr>
          <w:sz w:val="22"/>
          <w:szCs w:val="22"/>
        </w:rPr>
        <w:t>5</w:t>
      </w:r>
      <w:r w:rsidRPr="006005B3">
        <w:rPr>
          <w:sz w:val="22"/>
          <w:szCs w:val="22"/>
        </w:rPr>
        <w:t>-bit</w:t>
      </w:r>
      <w:r w:rsidR="00B55087">
        <w:rPr>
          <w:sz w:val="22"/>
          <w:szCs w:val="22"/>
        </w:rPr>
        <w:t>s per real or imaginary part</w:t>
      </w:r>
      <w:r w:rsidRPr="006005B3">
        <w:rPr>
          <w:sz w:val="22"/>
          <w:szCs w:val="22"/>
        </w:rPr>
        <w:t xml:space="preserve"> scalar quantization results in minimal performance loss. For the e-Type 2 codebook with parameter set 8, the </w:t>
      </w:r>
      <w:r w:rsidR="002D377A">
        <w:rPr>
          <w:sz w:val="22"/>
          <w:szCs w:val="22"/>
        </w:rPr>
        <w:t xml:space="preserve">simulation </w:t>
      </w:r>
      <w:r w:rsidRPr="006005B3">
        <w:rPr>
          <w:sz w:val="22"/>
          <w:szCs w:val="22"/>
        </w:rPr>
        <w:t xml:space="preserve">results </w:t>
      </w:r>
      <w:r w:rsidR="002D377A">
        <w:rPr>
          <w:sz w:val="22"/>
          <w:szCs w:val="22"/>
        </w:rPr>
        <w:t xml:space="preserve">submitted to RAN1 in the past meetings </w:t>
      </w:r>
      <w:r w:rsidRPr="006005B3">
        <w:rPr>
          <w:sz w:val="22"/>
          <w:szCs w:val="22"/>
        </w:rPr>
        <w:t xml:space="preserve">are inconclusive, as approximately half of the simulations show negligible degradation. </w:t>
      </w:r>
      <w:r w:rsidR="00DD237D">
        <w:rPr>
          <w:sz w:val="22"/>
          <w:szCs w:val="22"/>
        </w:rPr>
        <w:t>On the other hand, relying on e-Type 2 codebook for NW side data collection make</w:t>
      </w:r>
      <w:r w:rsidR="006E325E">
        <w:rPr>
          <w:sz w:val="22"/>
          <w:szCs w:val="22"/>
        </w:rPr>
        <w:t>s</w:t>
      </w:r>
      <w:r w:rsidR="00DD237D">
        <w:rPr>
          <w:sz w:val="22"/>
          <w:szCs w:val="22"/>
        </w:rPr>
        <w:t xml:space="preserve"> this feature </w:t>
      </w:r>
      <w:r w:rsidR="00AB6F0F">
        <w:rPr>
          <w:sz w:val="22"/>
          <w:szCs w:val="22"/>
        </w:rPr>
        <w:t xml:space="preserve">limiting, e.g., not being able to generalize to scenarios that the e-Type </w:t>
      </w:r>
      <w:r w:rsidR="007165F7">
        <w:rPr>
          <w:sz w:val="22"/>
          <w:szCs w:val="22"/>
        </w:rPr>
        <w:t xml:space="preserve">2 </w:t>
      </w:r>
      <w:r w:rsidR="00AB6F0F">
        <w:rPr>
          <w:sz w:val="22"/>
          <w:szCs w:val="22"/>
        </w:rPr>
        <w:t>codebook is not designed for</w:t>
      </w:r>
      <w:r w:rsidR="00DD237D">
        <w:rPr>
          <w:sz w:val="22"/>
          <w:szCs w:val="22"/>
        </w:rPr>
        <w:t xml:space="preserve">. </w:t>
      </w:r>
      <w:r w:rsidR="00AB6F0F">
        <w:rPr>
          <w:sz w:val="22"/>
          <w:szCs w:val="22"/>
        </w:rPr>
        <w:t xml:space="preserve">One example could be </w:t>
      </w:r>
      <w:r w:rsidR="00B71F6E">
        <w:rPr>
          <w:sz w:val="22"/>
          <w:szCs w:val="22"/>
        </w:rPr>
        <w:t xml:space="preserve">the </w:t>
      </w:r>
      <w:r w:rsidR="00F51ACA">
        <w:rPr>
          <w:sz w:val="22"/>
          <w:szCs w:val="22"/>
        </w:rPr>
        <w:t xml:space="preserve">near field </w:t>
      </w:r>
      <w:r w:rsidR="00B71F6E">
        <w:rPr>
          <w:sz w:val="22"/>
          <w:szCs w:val="22"/>
        </w:rPr>
        <w:t xml:space="preserve">scenario </w:t>
      </w:r>
      <w:r w:rsidR="00F51ACA">
        <w:rPr>
          <w:sz w:val="22"/>
          <w:szCs w:val="22"/>
        </w:rPr>
        <w:t xml:space="preserve">which 3GPP already has defined a channel model for </w:t>
      </w:r>
      <w:r w:rsidR="00C76205">
        <w:rPr>
          <w:sz w:val="22"/>
          <w:szCs w:val="22"/>
        </w:rPr>
        <w:fldChar w:fldCharType="begin"/>
      </w:r>
      <w:r w:rsidR="00C76205">
        <w:rPr>
          <w:sz w:val="22"/>
          <w:szCs w:val="22"/>
        </w:rPr>
        <w:instrText xml:space="preserve"> REF _Ref209529014 \r \h </w:instrText>
      </w:r>
      <w:r w:rsidR="00C76205">
        <w:rPr>
          <w:sz w:val="22"/>
          <w:szCs w:val="22"/>
        </w:rPr>
      </w:r>
      <w:r w:rsidR="00C76205">
        <w:rPr>
          <w:sz w:val="22"/>
          <w:szCs w:val="22"/>
        </w:rPr>
        <w:fldChar w:fldCharType="separate"/>
      </w:r>
      <w:r w:rsidR="00C76205">
        <w:rPr>
          <w:sz w:val="22"/>
          <w:szCs w:val="22"/>
        </w:rPr>
        <w:t>[3]</w:t>
      </w:r>
      <w:r w:rsidR="00C76205">
        <w:rPr>
          <w:sz w:val="22"/>
          <w:szCs w:val="22"/>
        </w:rPr>
        <w:fldChar w:fldCharType="end"/>
      </w:r>
      <w:r w:rsidR="00F51ACA">
        <w:rPr>
          <w:sz w:val="22"/>
          <w:szCs w:val="22"/>
        </w:rPr>
        <w:t xml:space="preserve">. </w:t>
      </w:r>
      <w:r w:rsidRPr="006005B3">
        <w:rPr>
          <w:sz w:val="22"/>
          <w:szCs w:val="22"/>
        </w:rPr>
        <w:t>Based on these observations</w:t>
      </w:r>
      <w:r>
        <w:rPr>
          <w:sz w:val="22"/>
          <w:szCs w:val="22"/>
        </w:rPr>
        <w:t xml:space="preserve">, </w:t>
      </w:r>
      <w:r w:rsidRPr="006005B3">
        <w:rPr>
          <w:sz w:val="22"/>
          <w:szCs w:val="22"/>
        </w:rPr>
        <w:t>and considering the L3 report forma</w:t>
      </w:r>
      <w:r>
        <w:rPr>
          <w:sz w:val="22"/>
          <w:szCs w:val="22"/>
        </w:rPr>
        <w:t xml:space="preserve">t, </w:t>
      </w:r>
      <w:r w:rsidRPr="006005B3">
        <w:rPr>
          <w:sz w:val="22"/>
          <w:szCs w:val="22"/>
        </w:rPr>
        <w:t xml:space="preserve">we propose using the </w:t>
      </w:r>
      <w:r w:rsidR="00237B04">
        <w:rPr>
          <w:sz w:val="22"/>
          <w:szCs w:val="22"/>
        </w:rPr>
        <w:t>Option 1</w:t>
      </w:r>
      <w:r w:rsidRPr="006005B3">
        <w:rPr>
          <w:sz w:val="22"/>
          <w:szCs w:val="22"/>
        </w:rPr>
        <w:t xml:space="preserve"> as the </w:t>
      </w:r>
      <w:r w:rsidR="007C1507">
        <w:rPr>
          <w:sz w:val="22"/>
          <w:szCs w:val="22"/>
        </w:rPr>
        <w:t xml:space="preserve">only </w:t>
      </w:r>
      <w:r w:rsidRPr="006005B3">
        <w:rPr>
          <w:sz w:val="22"/>
          <w:szCs w:val="22"/>
        </w:rPr>
        <w:t>reporting format.</w:t>
      </w:r>
    </w:p>
    <w:p w14:paraId="042860EC" w14:textId="77777777" w:rsidR="00972EE9" w:rsidRDefault="00972EE9" w:rsidP="00972EE9">
      <w:pPr>
        <w:rPr>
          <w:sz w:val="22"/>
          <w:szCs w:val="22"/>
        </w:rPr>
      </w:pPr>
    </w:p>
    <w:p w14:paraId="1C1B0179" w14:textId="1739FC42" w:rsidR="00972EE9" w:rsidRDefault="00972EE9" w:rsidP="00972EE9">
      <w:pPr>
        <w:rPr>
          <w:sz w:val="22"/>
          <w:szCs w:val="22"/>
        </w:rPr>
      </w:pPr>
      <w:r w:rsidRPr="00F92B76">
        <w:rPr>
          <w:b/>
          <w:bCs/>
          <w:color w:val="000000" w:themeColor="text1"/>
          <w:sz w:val="22"/>
          <w:szCs w:val="22"/>
        </w:rPr>
        <w:t xml:space="preserve">Proposal </w:t>
      </w:r>
      <w:r w:rsidR="0065585E">
        <w:rPr>
          <w:b/>
          <w:bCs/>
          <w:color w:val="000000" w:themeColor="text1"/>
          <w:sz w:val="22"/>
          <w:szCs w:val="22"/>
        </w:rPr>
        <w:t>3</w:t>
      </w:r>
      <w:r w:rsidRPr="00F92B76">
        <w:rPr>
          <w:b/>
          <w:bCs/>
          <w:color w:val="000000" w:themeColor="text1"/>
          <w:sz w:val="22"/>
          <w:szCs w:val="22"/>
        </w:rPr>
        <w:t xml:space="preserve">: </w:t>
      </w:r>
      <w:r w:rsidR="0065585E">
        <w:rPr>
          <w:b/>
          <w:bCs/>
          <w:color w:val="000000" w:themeColor="text1"/>
          <w:sz w:val="22"/>
          <w:szCs w:val="22"/>
        </w:rPr>
        <w:t xml:space="preserve">Do not support </w:t>
      </w:r>
      <w:proofErr w:type="spellStart"/>
      <w:r w:rsidR="0065585E">
        <w:rPr>
          <w:b/>
          <w:bCs/>
          <w:color w:val="000000" w:themeColor="text1"/>
          <w:sz w:val="22"/>
          <w:szCs w:val="22"/>
        </w:rPr>
        <w:t>eTypeII</w:t>
      </w:r>
      <w:proofErr w:type="spellEnd"/>
      <w:r w:rsidR="0065585E">
        <w:rPr>
          <w:b/>
          <w:bCs/>
          <w:color w:val="000000" w:themeColor="text1"/>
          <w:sz w:val="22"/>
          <w:szCs w:val="22"/>
        </w:rPr>
        <w:t xml:space="preserve"> based training data set quantization.</w:t>
      </w:r>
    </w:p>
    <w:p w14:paraId="24E66CC0" w14:textId="77777777" w:rsidR="00B778CD" w:rsidRDefault="00B778CD" w:rsidP="00A17182">
      <w:pPr>
        <w:rPr>
          <w:sz w:val="22"/>
          <w:szCs w:val="22"/>
        </w:rPr>
      </w:pPr>
    </w:p>
    <w:p w14:paraId="1954E1AC" w14:textId="67A4557A" w:rsidR="00B23E81" w:rsidRPr="00B23E81" w:rsidRDefault="00B23E81" w:rsidP="00B23E81">
      <w:pPr>
        <w:rPr>
          <w:i/>
          <w:iCs/>
          <w:sz w:val="22"/>
          <w:szCs w:val="22"/>
          <w:u w:val="single"/>
        </w:rPr>
      </w:pPr>
      <w:r>
        <w:rPr>
          <w:i/>
          <w:iCs/>
          <w:sz w:val="22"/>
          <w:szCs w:val="22"/>
          <w:u w:val="single"/>
        </w:rPr>
        <w:t>UE</w:t>
      </w:r>
      <w:r w:rsidRPr="00B23E81">
        <w:rPr>
          <w:i/>
          <w:iCs/>
          <w:sz w:val="22"/>
          <w:szCs w:val="22"/>
          <w:u w:val="single"/>
        </w:rPr>
        <w:t xml:space="preserve"> side data collection: </w:t>
      </w:r>
    </w:p>
    <w:p w14:paraId="54E0B644" w14:textId="77777777" w:rsidR="00E004EE" w:rsidRDefault="00E004EE" w:rsidP="00A17182">
      <w:pPr>
        <w:rPr>
          <w:sz w:val="22"/>
          <w:szCs w:val="22"/>
        </w:rPr>
      </w:pPr>
    </w:p>
    <w:p w14:paraId="24E06BC5" w14:textId="009A7247" w:rsidR="00E004EE" w:rsidRDefault="00E004EE" w:rsidP="00E004EE">
      <w:pPr>
        <w:rPr>
          <w:rFonts w:cs="Batang"/>
          <w:sz w:val="22"/>
          <w:szCs w:val="22"/>
        </w:rPr>
      </w:pPr>
      <w:r w:rsidRPr="00EF1E35">
        <w:rPr>
          <w:rFonts w:cs="Batang"/>
          <w:sz w:val="22"/>
          <w:szCs w:val="22"/>
        </w:rPr>
        <w:t>In RAN2 128 meeting</w:t>
      </w:r>
      <w:r>
        <w:rPr>
          <w:rFonts w:cs="Batang"/>
          <w:sz w:val="22"/>
          <w:szCs w:val="22"/>
        </w:rPr>
        <w:t xml:space="preserve"> in R19 UE side data collection framework</w:t>
      </w:r>
      <w:r w:rsidRPr="00EF1E35">
        <w:rPr>
          <w:rFonts w:cs="Batang"/>
          <w:sz w:val="22"/>
          <w:szCs w:val="22"/>
        </w:rPr>
        <w:t xml:space="preserve">, the following agreement related to UE side data collection was agreed. </w:t>
      </w:r>
    </w:p>
    <w:p w14:paraId="50933BEF" w14:textId="77777777" w:rsidR="00E004EE" w:rsidRDefault="00E004EE" w:rsidP="00E004EE">
      <w:pPr>
        <w:rPr>
          <w:rFonts w:cs="Batang"/>
          <w:sz w:val="22"/>
          <w:szCs w:val="22"/>
        </w:rPr>
      </w:pPr>
    </w:p>
    <w:p w14:paraId="3B6F11B9" w14:textId="77777777" w:rsidR="00E004EE" w:rsidRDefault="00E004EE" w:rsidP="00E004EE">
      <w:pPr>
        <w:rPr>
          <w:rFonts w:cs="Batang"/>
          <w:sz w:val="20"/>
          <w:szCs w:val="20"/>
        </w:rPr>
      </w:pPr>
      <w:r>
        <w:rPr>
          <w:rFonts w:cs="Batang"/>
          <w:noProof/>
          <w:sz w:val="20"/>
          <w:szCs w:val="20"/>
        </w:rPr>
        <mc:AlternateContent>
          <mc:Choice Requires="wps">
            <w:drawing>
              <wp:anchor distT="0" distB="0" distL="114300" distR="114300" simplePos="0" relativeHeight="251667456" behindDoc="0" locked="0" layoutInCell="1" allowOverlap="1" wp14:anchorId="7C319BB1" wp14:editId="44295D1A">
                <wp:simplePos x="0" y="0"/>
                <wp:positionH relativeFrom="column">
                  <wp:posOffset>0</wp:posOffset>
                </wp:positionH>
                <wp:positionV relativeFrom="paragraph">
                  <wp:posOffset>26283</wp:posOffset>
                </wp:positionV>
                <wp:extent cx="5727234" cy="1797803"/>
                <wp:effectExtent l="0" t="0" r="13335" b="18415"/>
                <wp:wrapNone/>
                <wp:docPr id="589457441" name="Text Box 4"/>
                <wp:cNvGraphicFramePr/>
                <a:graphic xmlns:a="http://schemas.openxmlformats.org/drawingml/2006/main">
                  <a:graphicData uri="http://schemas.microsoft.com/office/word/2010/wordprocessingShape">
                    <wps:wsp>
                      <wps:cNvSpPr txBox="1"/>
                      <wps:spPr>
                        <a:xfrm>
                          <a:off x="0" y="0"/>
                          <a:ext cx="5727234" cy="1797803"/>
                        </a:xfrm>
                        <a:prstGeom prst="rect">
                          <a:avLst/>
                        </a:prstGeom>
                        <a:solidFill>
                          <a:schemeClr val="lt1"/>
                        </a:solidFill>
                        <a:ln w="6350">
                          <a:solidFill>
                            <a:prstClr val="black"/>
                          </a:solidFill>
                        </a:ln>
                      </wps:spPr>
                      <wps:txbx>
                        <w:txbxContent>
                          <w:p w14:paraId="47C80F01" w14:textId="77777777" w:rsidR="00E004EE" w:rsidRPr="009A6D87" w:rsidRDefault="00E004EE" w:rsidP="00E004EE">
                            <w:pPr>
                              <w:numPr>
                                <w:ilvl w:val="0"/>
                                <w:numId w:val="25"/>
                              </w:numPr>
                              <w:rPr>
                                <w:sz w:val="22"/>
                                <w:szCs w:val="22"/>
                              </w:rPr>
                            </w:pPr>
                            <w:r w:rsidRPr="009A6D87">
                              <w:rPr>
                                <w:sz w:val="22"/>
                                <w:szCs w:val="22"/>
                              </w:rPr>
                              <w:t xml:space="preserve">For data collection configuration UE-side model training, the UE can send a request for data collection.   FFS what the request contains.    </w:t>
                            </w:r>
                          </w:p>
                          <w:p w14:paraId="60F4845C" w14:textId="77777777" w:rsidR="00E004EE" w:rsidRPr="009A6D87" w:rsidRDefault="00E004EE" w:rsidP="00E004EE">
                            <w:pPr>
                              <w:numPr>
                                <w:ilvl w:val="0"/>
                                <w:numId w:val="25"/>
                              </w:numPr>
                              <w:rPr>
                                <w:sz w:val="22"/>
                                <w:szCs w:val="22"/>
                              </w:rPr>
                            </w:pPr>
                            <w:r w:rsidRPr="009A6D87">
                              <w:rPr>
                                <w:sz w:val="22"/>
                                <w:szCs w:val="22"/>
                              </w:rPr>
                              <w:t xml:space="preserve">The network can provide the data collection configuration (at any point in time), with or without UE request.    </w:t>
                            </w:r>
                          </w:p>
                          <w:p w14:paraId="1F86A5F3" w14:textId="77777777" w:rsidR="00E004EE" w:rsidRPr="009A6D87" w:rsidRDefault="00E004EE" w:rsidP="00E004EE">
                            <w:pPr>
                              <w:numPr>
                                <w:ilvl w:val="0"/>
                                <w:numId w:val="25"/>
                              </w:numPr>
                              <w:rPr>
                                <w:sz w:val="22"/>
                                <w:szCs w:val="22"/>
                              </w:rPr>
                            </w:pPr>
                            <w:r w:rsidRPr="009A6D87">
                              <w:rPr>
                                <w:sz w:val="22"/>
                                <w:szCs w:val="22"/>
                              </w:rPr>
                              <w:t>The following methods for network control of the initiation and configuration for data collection:</w:t>
                            </w:r>
                          </w:p>
                          <w:p w14:paraId="0B991DAB" w14:textId="77777777" w:rsidR="00E004EE" w:rsidRPr="009A6D87" w:rsidRDefault="00E004EE" w:rsidP="00E004EE">
                            <w:pPr>
                              <w:ind w:firstLine="360"/>
                              <w:rPr>
                                <w:sz w:val="22"/>
                                <w:szCs w:val="22"/>
                              </w:rPr>
                            </w:pPr>
                            <w:r w:rsidRPr="009A6D87">
                              <w:rPr>
                                <w:sz w:val="22"/>
                                <w:szCs w:val="22"/>
                              </w:rPr>
                              <w:t>- The network can decide when to start/stop the data collection and send configuration.</w:t>
                            </w:r>
                          </w:p>
                          <w:p w14:paraId="0C13DA0E" w14:textId="77777777" w:rsidR="00E004EE" w:rsidRPr="009A6D87" w:rsidRDefault="00E004EE" w:rsidP="00E004EE">
                            <w:pPr>
                              <w:ind w:firstLine="360"/>
                              <w:rPr>
                                <w:sz w:val="22"/>
                                <w:szCs w:val="22"/>
                              </w:rPr>
                            </w:pPr>
                            <w:r w:rsidRPr="009A6D87">
                              <w:rPr>
                                <w:sz w:val="22"/>
                                <w:szCs w:val="22"/>
                              </w:rPr>
                              <w:t>- The network can configure whether UE is allowed to initiate request for data collection.</w:t>
                            </w:r>
                          </w:p>
                          <w:p w14:paraId="70A0EFA6" w14:textId="77777777" w:rsidR="00E004EE" w:rsidRPr="009A6D87" w:rsidRDefault="00E004EE" w:rsidP="00E004EE">
                            <w:pPr>
                              <w:numPr>
                                <w:ilvl w:val="0"/>
                                <w:numId w:val="25"/>
                              </w:numPr>
                              <w:rPr>
                                <w:sz w:val="22"/>
                                <w:szCs w:val="22"/>
                              </w:rPr>
                            </w:pPr>
                            <w:r w:rsidRPr="009A6D87">
                              <w:rPr>
                                <w:sz w:val="22"/>
                                <w:szCs w:val="22"/>
                              </w:rPr>
                              <w:t>FFS whether an indication from UE to network is needed when UE can’t perform data collection based on received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19BB1" id="Text Box 4" o:spid="_x0000_s1029" type="#_x0000_t202" style="position:absolute;margin-left:0;margin-top:2.05pt;width:450.95pt;height:141.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" fillcolor="white [3201]" strokeweight=".5pt">
                <v:textbox>
                  <w:txbxContent>
                    <w:p w14:paraId="47C80F01" w14:textId="77777777" w:rsidR="00E004EE" w:rsidRPr="009A6D87" w:rsidRDefault="00E004EE" w:rsidP="00E004EE">
                      <w:pPr>
                        <w:numPr>
                          <w:ilvl w:val="0"/>
                          <w:numId w:val="25"/>
                        </w:numPr>
                        <w:rPr>
                          <w:sz w:val="22"/>
                          <w:szCs w:val="22"/>
                        </w:rPr>
                      </w:pPr>
                      <w:r w:rsidRPr="009A6D87">
                        <w:rPr>
                          <w:sz w:val="22"/>
                          <w:szCs w:val="22"/>
                        </w:rPr>
                        <w:t xml:space="preserve">For data collection configuration UE-side model training, the UE can send a request for data collection.   FFS what the request contains.    </w:t>
                      </w:r>
                    </w:p>
                    <w:p w14:paraId="60F4845C" w14:textId="77777777" w:rsidR="00E004EE" w:rsidRPr="009A6D87" w:rsidRDefault="00E004EE" w:rsidP="00E004EE">
                      <w:pPr>
                        <w:numPr>
                          <w:ilvl w:val="0"/>
                          <w:numId w:val="25"/>
                        </w:numPr>
                        <w:rPr>
                          <w:sz w:val="22"/>
                          <w:szCs w:val="22"/>
                        </w:rPr>
                      </w:pPr>
                      <w:r w:rsidRPr="009A6D87">
                        <w:rPr>
                          <w:sz w:val="22"/>
                          <w:szCs w:val="22"/>
                        </w:rPr>
                        <w:t xml:space="preserve">The network can provide the data collection configuration (at any point in time), with or without UE request.    </w:t>
                      </w:r>
                    </w:p>
                    <w:p w14:paraId="1F86A5F3" w14:textId="77777777" w:rsidR="00E004EE" w:rsidRPr="009A6D87" w:rsidRDefault="00E004EE" w:rsidP="00E004EE">
                      <w:pPr>
                        <w:numPr>
                          <w:ilvl w:val="0"/>
                          <w:numId w:val="25"/>
                        </w:numPr>
                        <w:rPr>
                          <w:sz w:val="22"/>
                          <w:szCs w:val="22"/>
                        </w:rPr>
                      </w:pPr>
                      <w:r w:rsidRPr="009A6D87">
                        <w:rPr>
                          <w:sz w:val="22"/>
                          <w:szCs w:val="22"/>
                        </w:rPr>
                        <w:t>The following methods for network control of the initiation and configuration for data collection:</w:t>
                      </w:r>
                    </w:p>
                    <w:p w14:paraId="0B991DAB" w14:textId="77777777" w:rsidR="00E004EE" w:rsidRPr="009A6D87" w:rsidRDefault="00E004EE" w:rsidP="00E004EE">
                      <w:pPr>
                        <w:ind w:firstLine="360"/>
                        <w:rPr>
                          <w:sz w:val="22"/>
                          <w:szCs w:val="22"/>
                        </w:rPr>
                      </w:pPr>
                      <w:r w:rsidRPr="009A6D87">
                        <w:rPr>
                          <w:sz w:val="22"/>
                          <w:szCs w:val="22"/>
                        </w:rPr>
                        <w:t>- The network can decide when to start/stop the data collection and send configuration.</w:t>
                      </w:r>
                    </w:p>
                    <w:p w14:paraId="0C13DA0E" w14:textId="77777777" w:rsidR="00E004EE" w:rsidRPr="009A6D87" w:rsidRDefault="00E004EE" w:rsidP="00E004EE">
                      <w:pPr>
                        <w:ind w:firstLine="360"/>
                        <w:rPr>
                          <w:sz w:val="22"/>
                          <w:szCs w:val="22"/>
                        </w:rPr>
                      </w:pPr>
                      <w:r w:rsidRPr="009A6D87">
                        <w:rPr>
                          <w:sz w:val="22"/>
                          <w:szCs w:val="22"/>
                        </w:rPr>
                        <w:t>- The network can configure whether UE is allowed to initiate request for data collection.</w:t>
                      </w:r>
                    </w:p>
                    <w:p w14:paraId="70A0EFA6" w14:textId="77777777" w:rsidR="00E004EE" w:rsidRPr="009A6D87" w:rsidRDefault="00E004EE" w:rsidP="00E004EE">
                      <w:pPr>
                        <w:numPr>
                          <w:ilvl w:val="0"/>
                          <w:numId w:val="25"/>
                        </w:numPr>
                        <w:rPr>
                          <w:sz w:val="22"/>
                          <w:szCs w:val="22"/>
                        </w:rPr>
                      </w:pPr>
                      <w:r w:rsidRPr="009A6D87">
                        <w:rPr>
                          <w:sz w:val="22"/>
                          <w:szCs w:val="22"/>
                        </w:rPr>
                        <w:t>FFS whether an indication from UE to network is needed when UE can’t perform data collection based on received configuration</w:t>
                      </w:r>
                    </w:p>
                  </w:txbxContent>
                </v:textbox>
              </v:shape>
            </w:pict>
          </mc:Fallback>
        </mc:AlternateContent>
      </w:r>
    </w:p>
    <w:p w14:paraId="2F07AE24" w14:textId="77777777" w:rsidR="00E004EE" w:rsidRDefault="00E004EE" w:rsidP="00E004EE">
      <w:pPr>
        <w:rPr>
          <w:rFonts w:cs="Batang"/>
          <w:sz w:val="20"/>
          <w:szCs w:val="20"/>
        </w:rPr>
      </w:pPr>
    </w:p>
    <w:p w14:paraId="54B05CF0" w14:textId="77777777" w:rsidR="00E004EE" w:rsidRDefault="00E004EE" w:rsidP="00E004EE">
      <w:pPr>
        <w:rPr>
          <w:rFonts w:cs="Batang"/>
          <w:sz w:val="20"/>
          <w:szCs w:val="20"/>
        </w:rPr>
      </w:pPr>
    </w:p>
    <w:p w14:paraId="0CEA566E" w14:textId="77777777" w:rsidR="00E004EE" w:rsidRDefault="00E004EE" w:rsidP="00E004EE">
      <w:pPr>
        <w:rPr>
          <w:rFonts w:cs="Batang"/>
          <w:sz w:val="20"/>
          <w:szCs w:val="20"/>
        </w:rPr>
      </w:pPr>
    </w:p>
    <w:p w14:paraId="15027B60" w14:textId="77777777" w:rsidR="00E004EE" w:rsidRDefault="00E004EE" w:rsidP="00E004EE">
      <w:pPr>
        <w:rPr>
          <w:rFonts w:cs="Batang"/>
          <w:sz w:val="20"/>
          <w:szCs w:val="20"/>
        </w:rPr>
      </w:pPr>
    </w:p>
    <w:p w14:paraId="1B43DB4F" w14:textId="77777777" w:rsidR="00E004EE" w:rsidRDefault="00E004EE" w:rsidP="00E004EE">
      <w:pPr>
        <w:rPr>
          <w:rFonts w:cs="Batang"/>
          <w:sz w:val="20"/>
          <w:szCs w:val="20"/>
        </w:rPr>
      </w:pPr>
    </w:p>
    <w:p w14:paraId="1541197A" w14:textId="77777777" w:rsidR="00E004EE" w:rsidRDefault="00E004EE" w:rsidP="00E004EE">
      <w:pPr>
        <w:rPr>
          <w:rFonts w:cs="Batang"/>
          <w:sz w:val="20"/>
          <w:szCs w:val="20"/>
        </w:rPr>
      </w:pPr>
    </w:p>
    <w:p w14:paraId="7D7B2480" w14:textId="77777777" w:rsidR="00E004EE" w:rsidRDefault="00E004EE" w:rsidP="00E004EE">
      <w:pPr>
        <w:rPr>
          <w:rFonts w:cs="Batang"/>
          <w:sz w:val="20"/>
          <w:szCs w:val="20"/>
        </w:rPr>
      </w:pPr>
    </w:p>
    <w:p w14:paraId="783431C4" w14:textId="77777777" w:rsidR="00E004EE" w:rsidRDefault="00E004EE" w:rsidP="00E004EE">
      <w:pPr>
        <w:rPr>
          <w:rFonts w:cs="Batang"/>
          <w:sz w:val="20"/>
          <w:szCs w:val="20"/>
        </w:rPr>
      </w:pPr>
    </w:p>
    <w:p w14:paraId="0566225E" w14:textId="77777777" w:rsidR="00E004EE" w:rsidRDefault="00E004EE" w:rsidP="00E004EE">
      <w:pPr>
        <w:rPr>
          <w:rFonts w:cs="Batang"/>
          <w:sz w:val="20"/>
          <w:szCs w:val="20"/>
        </w:rPr>
      </w:pPr>
    </w:p>
    <w:p w14:paraId="3A4134DC" w14:textId="77777777" w:rsidR="00E004EE" w:rsidRDefault="00E004EE" w:rsidP="00E004EE">
      <w:pPr>
        <w:rPr>
          <w:rFonts w:cs="Batang"/>
          <w:sz w:val="20"/>
          <w:szCs w:val="20"/>
        </w:rPr>
      </w:pPr>
    </w:p>
    <w:p w14:paraId="7295A50D" w14:textId="77777777" w:rsidR="00E004EE" w:rsidRDefault="00E004EE" w:rsidP="00E004EE">
      <w:pPr>
        <w:rPr>
          <w:rFonts w:cs="Batang"/>
          <w:sz w:val="20"/>
          <w:szCs w:val="20"/>
        </w:rPr>
      </w:pPr>
    </w:p>
    <w:p w14:paraId="71E9C859" w14:textId="77777777" w:rsidR="00E004EE" w:rsidRDefault="00E004EE" w:rsidP="00E004EE">
      <w:pPr>
        <w:rPr>
          <w:rFonts w:cs="Batang"/>
          <w:sz w:val="20"/>
          <w:szCs w:val="20"/>
        </w:rPr>
      </w:pPr>
    </w:p>
    <w:p w14:paraId="1D5C2324" w14:textId="77777777" w:rsidR="00E004EE" w:rsidRDefault="00E004EE" w:rsidP="00E004EE">
      <w:pPr>
        <w:rPr>
          <w:rFonts w:cs="Batang"/>
          <w:sz w:val="20"/>
          <w:szCs w:val="20"/>
        </w:rPr>
      </w:pPr>
    </w:p>
    <w:p w14:paraId="12709505" w14:textId="3FE960EB" w:rsidR="00A05DD3" w:rsidRDefault="00A05DD3" w:rsidP="00E004EE">
      <w:pPr>
        <w:rPr>
          <w:rFonts w:cs="Batang"/>
          <w:sz w:val="22"/>
          <w:szCs w:val="22"/>
        </w:rPr>
      </w:pPr>
      <w:r w:rsidRPr="00A05DD3">
        <w:rPr>
          <w:rFonts w:cs="Batang"/>
          <w:sz w:val="22"/>
          <w:szCs w:val="22"/>
        </w:rPr>
        <w:t>Specifically for AI-based CSI compression, when a UE initiates a data collection request, it can also request a preferred CSI-RS configuration along with the corresponding pairing ID or association ID. For example, if the UE is operating in a low SNR environment, it may request a higher CSI-RS density to reduce measurement errors during data collection for model training.</w:t>
      </w:r>
    </w:p>
    <w:p w14:paraId="5178E07D" w14:textId="77777777" w:rsidR="00E004EE" w:rsidRDefault="00E004EE" w:rsidP="00E004EE">
      <w:pPr>
        <w:rPr>
          <w:rFonts w:cs="Batang"/>
          <w:sz w:val="22"/>
          <w:szCs w:val="22"/>
        </w:rPr>
      </w:pPr>
    </w:p>
    <w:p w14:paraId="0B3AE3E0" w14:textId="4901B420" w:rsidR="00B778CD" w:rsidRDefault="00E004EE" w:rsidP="00A17182">
      <w:pPr>
        <w:rPr>
          <w:sz w:val="22"/>
          <w:szCs w:val="22"/>
        </w:rPr>
      </w:pPr>
      <w:r w:rsidRPr="00F92B76">
        <w:rPr>
          <w:b/>
          <w:bCs/>
          <w:color w:val="000000" w:themeColor="text1"/>
          <w:sz w:val="22"/>
          <w:szCs w:val="22"/>
        </w:rPr>
        <w:t xml:space="preserve">Proposal </w:t>
      </w:r>
      <w:r w:rsidR="00F84114">
        <w:rPr>
          <w:b/>
          <w:bCs/>
          <w:color w:val="000000" w:themeColor="text1"/>
          <w:sz w:val="22"/>
          <w:szCs w:val="22"/>
        </w:rPr>
        <w:t>4</w:t>
      </w:r>
      <w:r w:rsidRPr="00F92B76">
        <w:rPr>
          <w:b/>
          <w:bCs/>
          <w:color w:val="000000" w:themeColor="text1"/>
          <w:sz w:val="22"/>
          <w:szCs w:val="22"/>
        </w:rPr>
        <w:t>:</w:t>
      </w:r>
      <w:r w:rsidR="00E55EEF">
        <w:rPr>
          <w:b/>
          <w:bCs/>
          <w:color w:val="000000" w:themeColor="text1"/>
          <w:sz w:val="22"/>
          <w:szCs w:val="22"/>
        </w:rPr>
        <w:t xml:space="preserve"> </w:t>
      </w:r>
      <w:r w:rsidR="00E55EEF">
        <w:rPr>
          <w:b/>
          <w:bCs/>
          <w:sz w:val="22"/>
          <w:szCs w:val="22"/>
        </w:rPr>
        <w:t xml:space="preserve">For </w:t>
      </w:r>
      <w:r w:rsidR="006A1851">
        <w:rPr>
          <w:b/>
          <w:bCs/>
          <w:sz w:val="22"/>
          <w:szCs w:val="22"/>
        </w:rPr>
        <w:t>UE side data collection</w:t>
      </w:r>
      <w:r w:rsidR="00E55EEF">
        <w:rPr>
          <w:b/>
          <w:bCs/>
          <w:sz w:val="22"/>
          <w:szCs w:val="22"/>
        </w:rPr>
        <w:t xml:space="preserve">, </w:t>
      </w:r>
      <w:r w:rsidR="00A05DD3" w:rsidRPr="00A05DD3">
        <w:rPr>
          <w:b/>
          <w:bCs/>
          <w:sz w:val="22"/>
          <w:szCs w:val="22"/>
        </w:rPr>
        <w:t>when a UE initiates a data collection procedure for training purposes, it may also recommend a CSI-RS-related configuration</w:t>
      </w:r>
      <w:r w:rsidR="00A05DD3">
        <w:rPr>
          <w:b/>
          <w:bCs/>
          <w:sz w:val="22"/>
          <w:szCs w:val="22"/>
        </w:rPr>
        <w:t xml:space="preserve"> </w:t>
      </w:r>
      <w:r w:rsidR="00A05DD3" w:rsidRPr="00A05DD3">
        <w:rPr>
          <w:b/>
          <w:bCs/>
          <w:sz w:val="22"/>
          <w:szCs w:val="22"/>
        </w:rPr>
        <w:t>such as CSI-RS density and association ID</w:t>
      </w:r>
      <w:r w:rsidR="00A05DD3">
        <w:rPr>
          <w:b/>
          <w:bCs/>
          <w:sz w:val="22"/>
          <w:szCs w:val="22"/>
        </w:rPr>
        <w:t xml:space="preserve">, </w:t>
      </w:r>
      <w:r w:rsidR="00A05DD3" w:rsidRPr="00A05DD3">
        <w:rPr>
          <w:b/>
          <w:bCs/>
          <w:sz w:val="22"/>
          <w:szCs w:val="22"/>
        </w:rPr>
        <w:t>to optimize the quality of the collected data.</w:t>
      </w:r>
    </w:p>
    <w:p w14:paraId="00615B9A" w14:textId="49780C36" w:rsidR="008E4E04" w:rsidRDefault="004A1D2A" w:rsidP="008E4E04">
      <w:pPr>
        <w:pStyle w:val="Heading1"/>
      </w:pPr>
      <w:r>
        <w:t xml:space="preserve">Performance monitoring </w:t>
      </w:r>
      <w:r w:rsidR="008E4E04">
        <w:t xml:space="preserve">   </w:t>
      </w:r>
    </w:p>
    <w:p w14:paraId="56F976B4" w14:textId="28D333AA" w:rsidR="00F965E6" w:rsidRDefault="00F965E6" w:rsidP="00A66056">
      <w:pPr>
        <w:rPr>
          <w:sz w:val="22"/>
          <w:szCs w:val="22"/>
        </w:rPr>
      </w:pPr>
      <w:r w:rsidRPr="00F965E6">
        <w:rPr>
          <w:sz w:val="22"/>
          <w:szCs w:val="22"/>
        </w:rPr>
        <w:t>During the Release 18 and 19 studies, both network-side and UE-side performance monitoring were extensively discussed. Additionally, root cause detection mechanisms were explored in cases where performance monitoring indicated issues.</w:t>
      </w:r>
    </w:p>
    <w:p w14:paraId="59CF6EAB" w14:textId="77777777" w:rsidR="00A66056" w:rsidRDefault="00A66056" w:rsidP="00A66056">
      <w:pPr>
        <w:rPr>
          <w:sz w:val="22"/>
          <w:szCs w:val="22"/>
        </w:rPr>
      </w:pPr>
    </w:p>
    <w:p w14:paraId="3E1CEDD5" w14:textId="0860EB45" w:rsidR="00F965E6" w:rsidRDefault="00F965E6" w:rsidP="005C30A2">
      <w:pPr>
        <w:rPr>
          <w:sz w:val="22"/>
          <w:szCs w:val="22"/>
        </w:rPr>
      </w:pPr>
      <w:r w:rsidRPr="00F965E6">
        <w:rPr>
          <w:sz w:val="22"/>
          <w:szCs w:val="22"/>
        </w:rPr>
        <w:t>Due to the nature of the two-sided AI model</w:t>
      </w:r>
      <w:r>
        <w:rPr>
          <w:sz w:val="22"/>
          <w:szCs w:val="22"/>
        </w:rPr>
        <w:t xml:space="preserve">, </w:t>
      </w:r>
      <w:r w:rsidRPr="00F965E6">
        <w:rPr>
          <w:sz w:val="22"/>
          <w:szCs w:val="22"/>
        </w:rPr>
        <w:t>unlike the one-sided model</w:t>
      </w:r>
      <w:r>
        <w:rPr>
          <w:sz w:val="22"/>
          <w:szCs w:val="22"/>
        </w:rPr>
        <w:t xml:space="preserve"> </w:t>
      </w:r>
      <w:r w:rsidRPr="00F965E6">
        <w:rPr>
          <w:sz w:val="22"/>
          <w:szCs w:val="22"/>
        </w:rPr>
        <w:t>where both input and output are available at a single endpoint</w:t>
      </w:r>
      <w:r>
        <w:rPr>
          <w:sz w:val="22"/>
          <w:szCs w:val="22"/>
        </w:rPr>
        <w:t xml:space="preserve">, </w:t>
      </w:r>
      <w:r w:rsidRPr="00F965E6">
        <w:rPr>
          <w:sz w:val="22"/>
          <w:szCs w:val="22"/>
        </w:rPr>
        <w:t xml:space="preserve">performance monitoring requires additional signaling. Specifically, the </w:t>
      </w:r>
      <w:proofErr w:type="spellStart"/>
      <w:r w:rsidRPr="00F965E6">
        <w:rPr>
          <w:sz w:val="22"/>
          <w:szCs w:val="22"/>
        </w:rPr>
        <w:t>gNB</w:t>
      </w:r>
      <w:proofErr w:type="spellEnd"/>
      <w:r w:rsidRPr="00F965E6">
        <w:rPr>
          <w:sz w:val="22"/>
          <w:szCs w:val="22"/>
        </w:rPr>
        <w:t xml:space="preserve"> must send its output CSI to the UE for UE-side performance monitoring, or the UE must send </w:t>
      </w:r>
      <w:r>
        <w:rPr>
          <w:sz w:val="22"/>
          <w:szCs w:val="22"/>
        </w:rPr>
        <w:t xml:space="preserve">the </w:t>
      </w:r>
      <w:r w:rsidRPr="00F965E6">
        <w:rPr>
          <w:sz w:val="22"/>
          <w:szCs w:val="22"/>
        </w:rPr>
        <w:t xml:space="preserve">target CSI to the </w:t>
      </w:r>
      <w:proofErr w:type="spellStart"/>
      <w:r w:rsidRPr="00F965E6">
        <w:rPr>
          <w:sz w:val="22"/>
          <w:szCs w:val="22"/>
        </w:rPr>
        <w:t>gNB</w:t>
      </w:r>
      <w:proofErr w:type="spellEnd"/>
      <w:r w:rsidRPr="00F965E6">
        <w:rPr>
          <w:sz w:val="22"/>
          <w:szCs w:val="22"/>
        </w:rPr>
        <w:t xml:space="preserve"> for network-side monitoring. Furthermore, the UE-side AI model can be utilized to generate intermediate KPIs to support local performance monitoring.</w:t>
      </w:r>
    </w:p>
    <w:p w14:paraId="597C191F" w14:textId="77777777" w:rsidR="005C30A2" w:rsidRDefault="005C30A2" w:rsidP="005C30A2">
      <w:pPr>
        <w:rPr>
          <w:sz w:val="22"/>
          <w:szCs w:val="22"/>
        </w:rPr>
      </w:pPr>
    </w:p>
    <w:p w14:paraId="56E3F087" w14:textId="5113A016" w:rsidR="00F965E6" w:rsidRDefault="00F965E6" w:rsidP="005C30A2">
      <w:pPr>
        <w:rPr>
          <w:sz w:val="22"/>
          <w:szCs w:val="22"/>
        </w:rPr>
      </w:pPr>
      <w:r w:rsidRPr="00F965E6">
        <w:rPr>
          <w:sz w:val="22"/>
          <w:szCs w:val="22"/>
        </w:rPr>
        <w:t>For network-side performance monitoring, an enhanced version of the e-Type 2 codebook with an extended parameter set was proposed. In the Release 18 evaluation, the difference between predicted KPIs (</w:t>
      </w:r>
      <w:proofErr w:type="spellStart"/>
      <w:r w:rsidRPr="00F965E6">
        <w:rPr>
          <w:i/>
          <w:iCs/>
          <w:sz w:val="22"/>
          <w:szCs w:val="22"/>
        </w:rPr>
        <w:t>KPI</w:t>
      </w:r>
      <w:r w:rsidRPr="00F965E6">
        <w:rPr>
          <w:i/>
          <w:iCs/>
          <w:sz w:val="22"/>
          <w:szCs w:val="22"/>
          <w:vertAlign w:val="subscript"/>
        </w:rPr>
        <w:t>genie</w:t>
      </w:r>
      <w:proofErr w:type="spellEnd"/>
      <w:r w:rsidRPr="00F965E6">
        <w:rPr>
          <w:sz w:val="22"/>
          <w:szCs w:val="22"/>
        </w:rPr>
        <w:t>) and actual KPIs (</w:t>
      </w:r>
      <w:proofErr w:type="spellStart"/>
      <w:r w:rsidRPr="00F965E6">
        <w:rPr>
          <w:i/>
          <w:iCs/>
          <w:sz w:val="22"/>
          <w:szCs w:val="22"/>
        </w:rPr>
        <w:t>KPI</w:t>
      </w:r>
      <w:r w:rsidRPr="00F965E6">
        <w:rPr>
          <w:i/>
          <w:iCs/>
          <w:sz w:val="22"/>
          <w:szCs w:val="22"/>
          <w:vertAlign w:val="subscript"/>
        </w:rPr>
        <w:t>actual</w:t>
      </w:r>
      <w:proofErr w:type="spellEnd"/>
      <w:r w:rsidRPr="00F965E6">
        <w:rPr>
          <w:sz w:val="22"/>
          <w:szCs w:val="22"/>
        </w:rPr>
        <w:t xml:space="preserve">) was calculated and compared across different codebooks used for ground-truth CSI feedback. It was observed that higher-accuracy codebooks generally resulted in improved KPI prediction accuracy. However, this comparison did not provide insights into whether the AI model’s performance degrades relative to legacy codebooks, nor whether the </w:t>
      </w:r>
      <w:proofErr w:type="spellStart"/>
      <w:r w:rsidRPr="00F965E6">
        <w:rPr>
          <w:sz w:val="22"/>
          <w:szCs w:val="22"/>
        </w:rPr>
        <w:t>gNB</w:t>
      </w:r>
      <w:proofErr w:type="spellEnd"/>
      <w:r w:rsidRPr="00F965E6">
        <w:rPr>
          <w:sz w:val="22"/>
          <w:szCs w:val="22"/>
        </w:rPr>
        <w:t xml:space="preserve"> should revert to legacy codebook-based feedback.</w:t>
      </w:r>
    </w:p>
    <w:p w14:paraId="7EF4F294" w14:textId="77777777" w:rsidR="00F965E6" w:rsidRDefault="00F965E6" w:rsidP="005C30A2">
      <w:pPr>
        <w:rPr>
          <w:sz w:val="22"/>
          <w:szCs w:val="22"/>
        </w:rPr>
      </w:pPr>
    </w:p>
    <w:p w14:paraId="40AF2D58" w14:textId="233A6538" w:rsidR="00F965E6" w:rsidRPr="00F965E6" w:rsidRDefault="00F965E6" w:rsidP="005C30A2">
      <w:pPr>
        <w:rPr>
          <w:sz w:val="22"/>
          <w:szCs w:val="22"/>
        </w:rPr>
      </w:pPr>
      <w:r w:rsidRPr="00F965E6">
        <w:rPr>
          <w:sz w:val="22"/>
          <w:szCs w:val="22"/>
        </w:rPr>
        <w:t xml:space="preserve">As shown in </w:t>
      </w:r>
      <w:r w:rsidR="00EC7A8B">
        <w:rPr>
          <w:sz w:val="22"/>
          <w:szCs w:val="22"/>
        </w:rPr>
        <w:fldChar w:fldCharType="begin"/>
      </w:r>
      <w:r w:rsidR="00EC7A8B">
        <w:rPr>
          <w:sz w:val="22"/>
          <w:szCs w:val="22"/>
        </w:rPr>
        <w:instrText xml:space="preserve"> REF _Ref213406240 \h </w:instrText>
      </w:r>
      <w:r w:rsidR="00EC7A8B">
        <w:rPr>
          <w:sz w:val="22"/>
          <w:szCs w:val="22"/>
        </w:rPr>
      </w:r>
      <w:r w:rsidR="00EC7A8B">
        <w:rPr>
          <w:sz w:val="22"/>
          <w:szCs w:val="22"/>
        </w:rPr>
        <w:fldChar w:fldCharType="separate"/>
      </w:r>
      <w:r w:rsidR="00EC7A8B" w:rsidRPr="00160D75">
        <w:rPr>
          <w:sz w:val="22"/>
          <w:szCs w:val="22"/>
        </w:rPr>
        <w:t xml:space="preserve">Figure </w:t>
      </w:r>
      <w:r w:rsidR="00EC7A8B" w:rsidRPr="00160D75">
        <w:rPr>
          <w:noProof/>
          <w:sz w:val="22"/>
          <w:szCs w:val="22"/>
        </w:rPr>
        <w:t>5</w:t>
      </w:r>
      <w:r w:rsidR="00EC7A8B">
        <w:rPr>
          <w:sz w:val="22"/>
          <w:szCs w:val="22"/>
        </w:rPr>
        <w:fldChar w:fldCharType="end"/>
      </w:r>
      <w:r w:rsidRPr="00F965E6">
        <w:rPr>
          <w:sz w:val="22"/>
          <w:szCs w:val="22"/>
        </w:rPr>
        <w:t>, when comparing AI-based CSI feedback and legacy feedback with similar overhead, channel variation emerged as a key factor influencing overall SGCS performance. While PMI feedback using extended parameters was</w:t>
      </w:r>
      <w:r>
        <w:rPr>
          <w:sz w:val="22"/>
          <w:szCs w:val="22"/>
        </w:rPr>
        <w:t xml:space="preserve"> used as ground truth to calculate KPI, </w:t>
      </w:r>
      <w:r w:rsidRPr="00F965E6">
        <w:rPr>
          <w:sz w:val="22"/>
          <w:szCs w:val="22"/>
        </w:rPr>
        <w:t xml:space="preserve">it showed no </w:t>
      </w:r>
      <w:r>
        <w:rPr>
          <w:sz w:val="22"/>
          <w:szCs w:val="22"/>
        </w:rPr>
        <w:t>indication whether the degraded SGCS is due to channel itself or due to AI model. I</w:t>
      </w:r>
      <w:r w:rsidRPr="00F965E6">
        <w:rPr>
          <w:sz w:val="22"/>
          <w:szCs w:val="22"/>
        </w:rPr>
        <w:t>nstead</w:t>
      </w:r>
      <w:r w:rsidR="004A3DEE">
        <w:rPr>
          <w:sz w:val="22"/>
          <w:szCs w:val="22"/>
        </w:rPr>
        <w:t>,</w:t>
      </w:r>
      <w:r>
        <w:rPr>
          <w:sz w:val="22"/>
          <w:szCs w:val="22"/>
        </w:rPr>
        <w:t xml:space="preserve"> it</w:t>
      </w:r>
      <w:r w:rsidRPr="00F965E6">
        <w:rPr>
          <w:sz w:val="22"/>
          <w:szCs w:val="22"/>
        </w:rPr>
        <w:t xml:space="preserve"> introduced higher feedback overhead. Moreover, the extended parameter set in the e-Type 2 codebook increases both UE complexity and power consumption.</w:t>
      </w:r>
    </w:p>
    <w:p w14:paraId="66B57951" w14:textId="58D2795B" w:rsidR="005C30A2" w:rsidRDefault="005C30A2" w:rsidP="005C30A2">
      <w:pPr>
        <w:jc w:val="center"/>
        <w:rPr>
          <w:sz w:val="22"/>
          <w:szCs w:val="22"/>
        </w:rPr>
      </w:pPr>
    </w:p>
    <w:p w14:paraId="45459D1A" w14:textId="77777777" w:rsidR="00E53C8D" w:rsidRDefault="00F965E6" w:rsidP="00E53C8D">
      <w:pPr>
        <w:keepNext/>
        <w:jc w:val="center"/>
      </w:pPr>
      <w:r w:rsidRPr="00F965E6">
        <w:rPr>
          <w:noProof/>
          <w:sz w:val="22"/>
          <w:szCs w:val="22"/>
        </w:rPr>
        <w:drawing>
          <wp:inline distT="0" distB="0" distL="0" distR="0" wp14:anchorId="56677C31" wp14:editId="00237FE9">
            <wp:extent cx="2596129" cy="1947961"/>
            <wp:effectExtent l="0" t="0" r="0" b="0"/>
            <wp:docPr id="582832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32308" name=""/>
                    <pic:cNvPicPr/>
                  </pic:nvPicPr>
                  <pic:blipFill>
                    <a:blip r:embed="rId10"/>
                    <a:stretch>
                      <a:fillRect/>
                    </a:stretch>
                  </pic:blipFill>
                  <pic:spPr>
                    <a:xfrm>
                      <a:off x="0" y="0"/>
                      <a:ext cx="2629593" cy="1973070"/>
                    </a:xfrm>
                    <a:prstGeom prst="rect">
                      <a:avLst/>
                    </a:prstGeom>
                  </pic:spPr>
                </pic:pic>
              </a:graphicData>
            </a:graphic>
          </wp:inline>
        </w:drawing>
      </w:r>
    </w:p>
    <w:p w14:paraId="5AFC13C2" w14:textId="41D4BCB9" w:rsidR="005C30A2" w:rsidRPr="00160D75" w:rsidRDefault="00E53C8D" w:rsidP="00474EA1">
      <w:pPr>
        <w:pStyle w:val="Caption"/>
        <w:rPr>
          <w:sz w:val="22"/>
          <w:szCs w:val="22"/>
        </w:rPr>
      </w:pPr>
      <w:bookmarkStart w:id="3" w:name="_Ref213406240"/>
      <w:r w:rsidRPr="00160D75">
        <w:rPr>
          <w:sz w:val="22"/>
          <w:szCs w:val="22"/>
        </w:rPr>
        <w:t xml:space="preserve">Figure </w:t>
      </w:r>
      <w:r w:rsidRPr="00160D75">
        <w:rPr>
          <w:sz w:val="22"/>
          <w:szCs w:val="22"/>
        </w:rPr>
        <w:fldChar w:fldCharType="begin"/>
      </w:r>
      <w:r w:rsidRPr="00160D75">
        <w:rPr>
          <w:sz w:val="22"/>
          <w:szCs w:val="22"/>
        </w:rPr>
        <w:instrText xml:space="preserve"> SEQ Figure \* ARABIC </w:instrText>
      </w:r>
      <w:r w:rsidRPr="00160D75">
        <w:rPr>
          <w:sz w:val="22"/>
          <w:szCs w:val="22"/>
        </w:rPr>
        <w:fldChar w:fldCharType="separate"/>
      </w:r>
      <w:r w:rsidR="006F289E" w:rsidRPr="00160D75">
        <w:rPr>
          <w:noProof/>
          <w:sz w:val="22"/>
          <w:szCs w:val="22"/>
        </w:rPr>
        <w:t>5</w:t>
      </w:r>
      <w:r w:rsidRPr="00160D75">
        <w:rPr>
          <w:sz w:val="22"/>
          <w:szCs w:val="22"/>
        </w:rPr>
        <w:fldChar w:fldCharType="end"/>
      </w:r>
      <w:bookmarkEnd w:id="3"/>
      <w:r w:rsidRPr="00160D75">
        <w:rPr>
          <w:sz w:val="22"/>
          <w:szCs w:val="22"/>
        </w:rPr>
        <w:t>: Distribution of SGCS with AI based CSI compression and legacy codebook with similar feedback overhead</w:t>
      </w:r>
      <w:r w:rsidR="00474EA1" w:rsidRPr="00160D75">
        <w:rPr>
          <w:sz w:val="22"/>
          <w:szCs w:val="22"/>
        </w:rPr>
        <w:t>.</w:t>
      </w:r>
    </w:p>
    <w:p w14:paraId="3BF89E79" w14:textId="77777777" w:rsidR="005C30A2" w:rsidRDefault="005C30A2" w:rsidP="005C30A2">
      <w:pPr>
        <w:rPr>
          <w:sz w:val="22"/>
          <w:szCs w:val="22"/>
        </w:rPr>
      </w:pPr>
    </w:p>
    <w:p w14:paraId="12D6D716" w14:textId="353ECD44" w:rsidR="001A4EDA" w:rsidRDefault="001A4EDA" w:rsidP="001A4EDA">
      <w:pPr>
        <w:rPr>
          <w:sz w:val="22"/>
          <w:szCs w:val="22"/>
        </w:rPr>
      </w:pPr>
      <w:r w:rsidRPr="001A4EDA">
        <w:rPr>
          <w:sz w:val="22"/>
          <w:szCs w:val="22"/>
        </w:rPr>
        <w:t xml:space="preserve">For UE-side performance monitoring, the simplest approach to consider is for the network to implicitly convey the output CSI via pre-coded reference signals, as illustrated in </w:t>
      </w:r>
      <w:r w:rsidR="00B65C96">
        <w:rPr>
          <w:sz w:val="22"/>
          <w:szCs w:val="22"/>
        </w:rPr>
        <w:fldChar w:fldCharType="begin"/>
      </w:r>
      <w:r w:rsidR="00B65C96">
        <w:rPr>
          <w:sz w:val="22"/>
          <w:szCs w:val="22"/>
        </w:rPr>
        <w:instrText xml:space="preserve"> REF _Ref209530541 \h </w:instrText>
      </w:r>
      <w:r w:rsidR="00B65C96">
        <w:rPr>
          <w:sz w:val="22"/>
          <w:szCs w:val="22"/>
        </w:rPr>
      </w:r>
      <w:r w:rsidR="00B65C96">
        <w:rPr>
          <w:sz w:val="22"/>
          <w:szCs w:val="22"/>
        </w:rPr>
        <w:fldChar w:fldCharType="separate"/>
      </w:r>
      <w:r w:rsidR="00B65C96" w:rsidRPr="00CC1232">
        <w:rPr>
          <w:sz w:val="22"/>
          <w:szCs w:val="22"/>
        </w:rPr>
        <w:t xml:space="preserve">Figure </w:t>
      </w:r>
      <w:r w:rsidR="00B65C96" w:rsidRPr="00CC1232">
        <w:rPr>
          <w:noProof/>
          <w:sz w:val="22"/>
          <w:szCs w:val="22"/>
        </w:rPr>
        <w:t>2</w:t>
      </w:r>
      <w:r w:rsidR="00B65C96">
        <w:rPr>
          <w:sz w:val="22"/>
          <w:szCs w:val="22"/>
        </w:rPr>
        <w:fldChar w:fldCharType="end"/>
      </w:r>
      <w:r w:rsidRPr="001A4EDA">
        <w:rPr>
          <w:sz w:val="22"/>
          <w:szCs w:val="22"/>
        </w:rPr>
        <w:t>. These reference signals can be either single-port CSI-RS</w:t>
      </w:r>
      <w:r>
        <w:rPr>
          <w:sz w:val="22"/>
          <w:szCs w:val="22"/>
        </w:rPr>
        <w:t>,</w:t>
      </w:r>
      <w:r w:rsidRPr="001A4EDA">
        <w:rPr>
          <w:sz w:val="22"/>
          <w:szCs w:val="22"/>
        </w:rPr>
        <w:t xml:space="preserve"> or DMRS in cases where the </w:t>
      </w:r>
      <w:proofErr w:type="spellStart"/>
      <w:r w:rsidRPr="001A4EDA">
        <w:rPr>
          <w:sz w:val="22"/>
          <w:szCs w:val="22"/>
        </w:rPr>
        <w:t>gNB</w:t>
      </w:r>
      <w:proofErr w:type="spellEnd"/>
      <w:r w:rsidRPr="001A4EDA">
        <w:rPr>
          <w:sz w:val="22"/>
          <w:szCs w:val="22"/>
        </w:rPr>
        <w:t xml:space="preserve"> uses the output CSI for PDSCH transmission.</w:t>
      </w:r>
    </w:p>
    <w:p w14:paraId="0523CB37" w14:textId="77777777" w:rsidR="001A4EDA" w:rsidRPr="001A4EDA" w:rsidRDefault="001A4EDA" w:rsidP="001A4EDA">
      <w:pPr>
        <w:rPr>
          <w:sz w:val="22"/>
          <w:szCs w:val="22"/>
        </w:rPr>
      </w:pPr>
    </w:p>
    <w:p w14:paraId="57062ACD" w14:textId="77777777" w:rsidR="001A4EDA" w:rsidRPr="001A4EDA" w:rsidRDefault="001A4EDA" w:rsidP="001A4EDA">
      <w:pPr>
        <w:rPr>
          <w:sz w:val="22"/>
          <w:szCs w:val="22"/>
        </w:rPr>
      </w:pPr>
      <w:r w:rsidRPr="001A4EDA">
        <w:rPr>
          <w:sz w:val="22"/>
          <w:szCs w:val="22"/>
        </w:rPr>
        <w:t xml:space="preserve">The core idea is to avoid explicitly quantizing and transmitting the output CSI to the UE. Instead, the </w:t>
      </w:r>
      <w:proofErr w:type="spellStart"/>
      <w:r w:rsidRPr="001A4EDA">
        <w:rPr>
          <w:sz w:val="22"/>
          <w:szCs w:val="22"/>
        </w:rPr>
        <w:t>gNB</w:t>
      </w:r>
      <w:proofErr w:type="spellEnd"/>
      <w:r w:rsidRPr="001A4EDA">
        <w:rPr>
          <w:sz w:val="22"/>
          <w:szCs w:val="22"/>
        </w:rPr>
        <w:t xml:space="preserve"> pre-codes one or two CSI-RS ports using the output CSI, depending on the number of transmission layers used for performance monitoring. The UE then receives:</w:t>
      </w:r>
    </w:p>
    <w:p w14:paraId="22A4E313" w14:textId="021D3BEE" w:rsidR="001A4EDA" w:rsidRPr="001A4EDA" w:rsidRDefault="001A4EDA" w:rsidP="001A4EDA">
      <w:pPr>
        <w:numPr>
          <w:ilvl w:val="0"/>
          <w:numId w:val="61"/>
        </w:numPr>
        <w:rPr>
          <w:sz w:val="22"/>
          <w:szCs w:val="22"/>
        </w:rPr>
      </w:pPr>
      <w:r w:rsidRPr="001A4EDA">
        <w:rPr>
          <w:sz w:val="22"/>
          <w:szCs w:val="22"/>
        </w:rPr>
        <w:t xml:space="preserve">A CSI-RS </w:t>
      </w:r>
      <w:r w:rsidR="00CC1232">
        <w:rPr>
          <w:sz w:val="22"/>
          <w:szCs w:val="22"/>
        </w:rPr>
        <w:t>resource</w:t>
      </w:r>
      <w:r w:rsidRPr="001A4EDA">
        <w:rPr>
          <w:sz w:val="22"/>
          <w:szCs w:val="22"/>
        </w:rPr>
        <w:t xml:space="preserve"> at time T₀ to calculate the input CSI, and</w:t>
      </w:r>
    </w:p>
    <w:p w14:paraId="2AA81942" w14:textId="77777777" w:rsidR="001A4EDA" w:rsidRPr="001A4EDA" w:rsidRDefault="001A4EDA" w:rsidP="001A4EDA">
      <w:pPr>
        <w:numPr>
          <w:ilvl w:val="0"/>
          <w:numId w:val="61"/>
        </w:numPr>
        <w:rPr>
          <w:sz w:val="22"/>
          <w:szCs w:val="22"/>
        </w:rPr>
      </w:pPr>
      <w:r w:rsidRPr="001A4EDA">
        <w:rPr>
          <w:sz w:val="22"/>
          <w:szCs w:val="22"/>
        </w:rPr>
        <w:t>A pre-coded CSI-RS port at time T₁ carrying the reconstructed CSI, for performance monitoring purposes.</w:t>
      </w:r>
    </w:p>
    <w:p w14:paraId="70F3AEC0" w14:textId="77777777" w:rsidR="001A4EDA" w:rsidRDefault="001A4EDA" w:rsidP="005C30A2">
      <w:pPr>
        <w:rPr>
          <w:sz w:val="22"/>
          <w:szCs w:val="22"/>
        </w:rPr>
      </w:pPr>
    </w:p>
    <w:p w14:paraId="34072432" w14:textId="77777777" w:rsidR="001A4EDA" w:rsidRDefault="001A4EDA" w:rsidP="001A4EDA">
      <w:pPr>
        <w:rPr>
          <w:sz w:val="22"/>
          <w:szCs w:val="22"/>
        </w:rPr>
      </w:pPr>
      <w:r w:rsidRPr="001A4EDA">
        <w:rPr>
          <w:sz w:val="22"/>
          <w:szCs w:val="22"/>
        </w:rPr>
        <w:t xml:space="preserve">To enable comparison with legacy performance, the UE first uses the CSI-RS for inference to estimate the full channel. It then calculates the legacy codebook-based precoder and applies it to derive the equivalent SNR or hypothetical BLER. This equivalent SNR is compared with the measurement obtained from the pre-coded CSI-RS for performance monitoring. If the SNR derived </w:t>
      </w:r>
      <w:r w:rsidRPr="001A4EDA">
        <w:rPr>
          <w:sz w:val="22"/>
          <w:szCs w:val="22"/>
        </w:rPr>
        <w:lastRenderedPageBreak/>
        <w:t>from the pre-coded CSI-RS is higher, it indicates that the AI/ML-based CSI compression outperforms the legacy e-Type 2 codebook.</w:t>
      </w:r>
    </w:p>
    <w:p w14:paraId="537DC757" w14:textId="77777777" w:rsidR="001A4EDA" w:rsidRPr="001A4EDA" w:rsidRDefault="001A4EDA" w:rsidP="001A4EDA">
      <w:pPr>
        <w:rPr>
          <w:sz w:val="22"/>
          <w:szCs w:val="22"/>
        </w:rPr>
      </w:pPr>
    </w:p>
    <w:p w14:paraId="11047081" w14:textId="77777777" w:rsidR="001A4EDA" w:rsidRDefault="001A4EDA" w:rsidP="001A4EDA">
      <w:pPr>
        <w:rPr>
          <w:sz w:val="22"/>
          <w:szCs w:val="22"/>
        </w:rPr>
      </w:pPr>
      <w:r w:rsidRPr="001A4EDA">
        <w:rPr>
          <w:sz w:val="22"/>
          <w:szCs w:val="22"/>
        </w:rPr>
        <w:t>The performance monitoring metric can be defined by comparing the precoding gain, as follows:</w:t>
      </w:r>
    </w:p>
    <w:p w14:paraId="0EEF8DFD" w14:textId="77777777" w:rsidR="001A4EDA" w:rsidRPr="001A4EDA" w:rsidRDefault="001A4EDA" w:rsidP="001A4EDA">
      <w:pPr>
        <w:pStyle w:val="ListParagraph"/>
        <w:numPr>
          <w:ilvl w:val="0"/>
          <w:numId w:val="63"/>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e>
            </m:d>
          </m:e>
          <m:sup>
            <m:r>
              <m:rPr>
                <m:sty m:val="bi"/>
              </m:rPr>
              <w:rPr>
                <w:rFonts w:ascii="Cambria Math" w:hAnsi="Cambria Math"/>
                <w:color w:val="000000" w:themeColor="text1"/>
                <w:sz w:val="22"/>
                <w:szCs w:val="22"/>
                <w:lang w:eastAsia="ko-KR"/>
              </w:rPr>
              <m:t>2</m:t>
            </m:r>
          </m:sup>
        </m:sSup>
      </m:oMath>
      <w:r w:rsidRPr="001A4EDA">
        <w:rPr>
          <w:color w:val="000000" w:themeColor="text1"/>
          <w:sz w:val="22"/>
          <w:szCs w:val="22"/>
          <w:lang w:eastAsia="ko-KR"/>
        </w:rPr>
        <w:t xml:space="preserve"> </w:t>
      </w:r>
    </w:p>
    <w:p w14:paraId="32E5C911" w14:textId="4A4B8AFF" w:rsidR="001A4EDA" w:rsidRPr="001A4EDA" w:rsidRDefault="001A4EDA" w:rsidP="001A4EDA">
      <w:pPr>
        <w:pStyle w:val="ListParagraph"/>
        <w:numPr>
          <w:ilvl w:val="0"/>
          <w:numId w:val="63"/>
        </w:numPr>
        <w:ind w:leftChars="0"/>
        <w:rPr>
          <w:sz w:val="22"/>
          <w:szCs w:val="22"/>
        </w:rPr>
      </w:pP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r>
          <w:rPr>
            <w:rFonts w:ascii="Cambria Math" w:hAnsi="Cambria Math"/>
            <w:color w:val="000000" w:themeColor="text1"/>
            <w:sz w:val="22"/>
            <w:szCs w:val="22"/>
            <w:lang w:eastAsia="ko-KR"/>
          </w:rPr>
          <m:t>=</m:t>
        </m:r>
        <m:sSup>
          <m:sSupPr>
            <m:ctrlPr>
              <w:rPr>
                <w:rFonts w:ascii="Cambria Math" w:hAnsi="Cambria Math"/>
                <w:color w:val="000000" w:themeColor="text1"/>
                <w:sz w:val="22"/>
                <w:szCs w:val="22"/>
                <w:lang w:eastAsia="ko-KR"/>
              </w:rPr>
            </m:ctrlPr>
          </m:sSupPr>
          <m:e>
            <m:d>
              <m:dPr>
                <m:begChr m:val="‖"/>
                <m:endChr m:val="‖"/>
                <m:ctrlPr>
                  <w:rPr>
                    <w:rFonts w:ascii="Cambria Math" w:hAnsi="Cambria Math"/>
                    <w:color w:val="000000" w:themeColor="text1"/>
                    <w:sz w:val="22"/>
                    <w:szCs w:val="22"/>
                    <w:lang w:eastAsia="ko-KR"/>
                  </w:rPr>
                </m:ctrlPr>
              </m:dPr>
              <m:e>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r>
                  <w:rPr>
                    <w:rFonts w:ascii="Cambria Math" w:hAnsi="Cambria Math"/>
                    <w:color w:val="000000" w:themeColor="text1"/>
                    <w:sz w:val="22"/>
                    <w:szCs w:val="22"/>
                    <w:lang w:eastAsia="ko-KR"/>
                  </w:rPr>
                  <m:t xml:space="preserve"> </m:t>
                </m:r>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e>
            </m:d>
          </m:e>
          <m:sup>
            <m:r>
              <m:rPr>
                <m:sty m:val="bi"/>
              </m:rPr>
              <w:rPr>
                <w:rFonts w:ascii="Cambria Math" w:hAnsi="Cambria Math"/>
                <w:color w:val="000000" w:themeColor="text1"/>
                <w:sz w:val="22"/>
                <w:szCs w:val="22"/>
                <w:lang w:eastAsia="ko-KR"/>
              </w:rPr>
              <m:t>2</m:t>
            </m:r>
          </m:sup>
        </m:sSup>
      </m:oMath>
      <w:r w:rsidRPr="001A4EDA">
        <w:rPr>
          <w:rFonts w:eastAsia="SimSun"/>
          <w:color w:val="000000" w:themeColor="text1"/>
          <w:sz w:val="22"/>
          <w:szCs w:val="22"/>
        </w:rPr>
        <w:t>,</w:t>
      </w:r>
      <w:r w:rsidRPr="001A4EDA">
        <w:rPr>
          <w:bCs/>
          <w:iCs/>
          <w:color w:val="000000" w:themeColor="text1"/>
          <w:sz w:val="22"/>
          <w:szCs w:val="22"/>
          <w:lang w:eastAsia="ko-KR"/>
        </w:rPr>
        <w:t xml:space="preserve"> </w:t>
      </w:r>
    </w:p>
    <w:p w14:paraId="7659EBDC" w14:textId="158498AA" w:rsidR="001A4EDA" w:rsidRPr="001A4EDA" w:rsidRDefault="001A4EDA" w:rsidP="001A4EDA">
      <w:pPr>
        <w:rPr>
          <w:sz w:val="22"/>
          <w:szCs w:val="22"/>
        </w:rPr>
      </w:pPr>
      <w:r>
        <w:rPr>
          <w:sz w:val="22"/>
          <w:szCs w:val="22"/>
        </w:rPr>
        <w:t>w</w:t>
      </w:r>
      <w:r w:rsidRPr="001A4EDA">
        <w:rPr>
          <w:sz w:val="22"/>
          <w:szCs w:val="22"/>
        </w:rPr>
        <w:t>here</w:t>
      </w:r>
      <w:r>
        <w:rPr>
          <w:sz w:val="22"/>
          <w:szCs w:val="22"/>
        </w:rPr>
        <w:t xml:space="preserve"> </w:t>
      </w:r>
      <m:oMath>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H</m:t>
            </m:r>
          </m:e>
          <m:sub>
            <m:r>
              <m:rPr>
                <m:sty m:val="bi"/>
              </m:rPr>
              <w:rPr>
                <w:rFonts w:ascii="Cambria Math" w:hAnsi="Cambria Math"/>
                <w:color w:val="000000" w:themeColor="text1"/>
                <w:sz w:val="22"/>
                <w:szCs w:val="22"/>
                <w:lang w:eastAsia="ko-KR"/>
              </w:rPr>
              <m:t>Actual</m:t>
            </m:r>
          </m:sub>
        </m:sSub>
      </m:oMath>
      <w:r w:rsidRPr="001A4EDA">
        <w:rPr>
          <w:sz w:val="22"/>
          <w:szCs w:val="22"/>
        </w:rPr>
        <w:t xml:space="preserve"> </w:t>
      </w:r>
      <w:r>
        <w:rPr>
          <w:sz w:val="22"/>
          <w:szCs w:val="22"/>
        </w:rPr>
        <w:t xml:space="preserve">is </w:t>
      </w:r>
      <w:r w:rsidRPr="001A4EDA">
        <w:rPr>
          <w:sz w:val="22"/>
          <w:szCs w:val="22"/>
        </w:rPr>
        <w:t>the actual channel matrix</w:t>
      </w:r>
      <w:r>
        <w:rPr>
          <w:sz w:val="22"/>
          <w:szCs w:val="22"/>
        </w:rPr>
        <w:t xml:space="preserve"> at T</w:t>
      </w:r>
      <w:r w:rsidRPr="001A4EDA">
        <w:rPr>
          <w:sz w:val="22"/>
          <w:szCs w:val="22"/>
          <w:vertAlign w:val="subscript"/>
        </w:rPr>
        <w:t>1</w:t>
      </w:r>
      <w:r w:rsidRPr="001A4EDA">
        <w:rPr>
          <w:sz w:val="22"/>
          <w:szCs w:val="22"/>
        </w:rPr>
        <w:t xml:space="preserve">, </w:t>
      </w:r>
      <w:r>
        <w:rPr>
          <w:sz w:val="22"/>
          <w:szCs w:val="22"/>
        </w:rPr>
        <w:t xml:space="preserve"> </w:t>
      </w:r>
      <m:oMath>
        <m:acc>
          <m:accPr>
            <m:chr m:val="^"/>
            <m:ctrlPr>
              <w:rPr>
                <w:rFonts w:ascii="Cambria Math" w:hAnsi="Cambria Math"/>
                <w:color w:val="000000" w:themeColor="text1"/>
                <w:sz w:val="22"/>
                <w:szCs w:val="22"/>
                <w:lang w:eastAsia="ko-KR"/>
              </w:rPr>
            </m:ctrlPr>
          </m:accPr>
          <m:e>
            <m:r>
              <m:rPr>
                <m:sty m:val="bi"/>
              </m:rPr>
              <w:rPr>
                <w:rFonts w:ascii="Cambria Math" w:hAnsi="Cambria Math"/>
                <w:color w:val="000000" w:themeColor="text1"/>
                <w:sz w:val="22"/>
                <w:szCs w:val="22"/>
                <w:lang w:eastAsia="ko-KR"/>
              </w:rPr>
              <m:t>v</m:t>
            </m:r>
          </m:e>
        </m:acc>
      </m:oMath>
      <w:r>
        <w:rPr>
          <w:color w:val="000000" w:themeColor="text1"/>
          <w:sz w:val="22"/>
          <w:szCs w:val="22"/>
          <w:lang w:eastAsia="ko-KR"/>
        </w:rPr>
        <w:t xml:space="preserve"> </w:t>
      </w:r>
      <w:r w:rsidRPr="001A4EDA">
        <w:rPr>
          <w:sz w:val="22"/>
          <w:szCs w:val="22"/>
        </w:rPr>
        <w:t>is the precoder derived from AI/ML-reconstructed CSI, and</w:t>
      </w:r>
      <w:r>
        <w:rPr>
          <w:sz w:val="22"/>
          <w:szCs w:val="22"/>
        </w:rPr>
        <w:t xml:space="preserve"> </w:t>
      </w:r>
      <m:oMath>
        <m:sSub>
          <m:sSubPr>
            <m:ctrlPr>
              <w:rPr>
                <w:rFonts w:ascii="Cambria Math" w:hAnsi="Cambria Math"/>
                <w:i/>
                <w:color w:val="000000" w:themeColor="text1"/>
                <w:sz w:val="22"/>
                <w:szCs w:val="22"/>
                <w:lang w:eastAsia="ko-KR"/>
              </w:rPr>
            </m:ctrlPr>
          </m:sSubPr>
          <m:e>
            <m:r>
              <w:rPr>
                <w:rFonts w:ascii="Cambria Math" w:hAnsi="Cambria Math"/>
                <w:color w:val="000000" w:themeColor="text1"/>
                <w:sz w:val="22"/>
                <w:szCs w:val="22"/>
                <w:lang w:eastAsia="ko-KR"/>
              </w:rPr>
              <m:t>v</m:t>
            </m:r>
          </m:e>
          <m:sub>
            <m:r>
              <w:rPr>
                <w:rFonts w:ascii="Cambria Math" w:hAnsi="Cambria Math"/>
                <w:color w:val="000000" w:themeColor="text1"/>
                <w:sz w:val="22"/>
                <w:szCs w:val="22"/>
                <w:lang w:eastAsia="ko-KR"/>
              </w:rPr>
              <m:t>cb</m:t>
            </m:r>
          </m:sub>
        </m:sSub>
      </m:oMath>
      <w:r w:rsidRPr="001A4EDA">
        <w:rPr>
          <w:sz w:val="22"/>
          <w:szCs w:val="22"/>
        </w:rPr>
        <w:t xml:space="preserve"> is the precoder computed using the legacy codebook (e.g., e-Type 2). Both KPIs are averaged over subbands.</w:t>
      </w:r>
    </w:p>
    <w:p w14:paraId="581FF07D" w14:textId="77777777" w:rsidR="001A4EDA" w:rsidRDefault="001A4EDA" w:rsidP="001A4EDA">
      <w:pPr>
        <w:rPr>
          <w:sz w:val="22"/>
          <w:szCs w:val="22"/>
        </w:rPr>
      </w:pPr>
    </w:p>
    <w:p w14:paraId="72BA3C86" w14:textId="664C7B7D" w:rsidR="001A4EDA" w:rsidRPr="001A4EDA" w:rsidRDefault="001A4EDA" w:rsidP="001A4EDA">
      <w:pPr>
        <w:rPr>
          <w:sz w:val="22"/>
          <w:szCs w:val="22"/>
        </w:rPr>
      </w:pPr>
      <w:r w:rsidRPr="001A4EDA">
        <w:rPr>
          <w:sz w:val="22"/>
          <w:szCs w:val="22"/>
        </w:rPr>
        <w:t>Finally, the comparison of</w:t>
      </w:r>
      <w:r w:rsidR="002C5C8D">
        <w:rPr>
          <w:sz w:val="22"/>
          <w:szCs w:val="22"/>
        </w:rPr>
        <w:t xml:space="preserve">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Reference</m:t>
            </m:r>
          </m:sub>
        </m:sSub>
      </m:oMath>
      <w:r w:rsidR="002C5C8D" w:rsidRPr="00FA0F13">
        <w:rPr>
          <w:rFonts w:eastAsia="SimSun"/>
          <w:color w:val="000000" w:themeColor="text1"/>
          <w:sz w:val="22"/>
          <w:szCs w:val="22"/>
        </w:rPr>
        <w:t xml:space="preserve"> and </w:t>
      </w:r>
      <m:oMath>
        <m:r>
          <m:rPr>
            <m:sty m:val="bi"/>
          </m:rPr>
          <w:rPr>
            <w:rFonts w:ascii="Cambria Math" w:hAnsi="Cambria Math"/>
            <w:color w:val="000000" w:themeColor="text1"/>
            <w:sz w:val="22"/>
            <w:szCs w:val="22"/>
            <w:lang w:eastAsia="ko-KR"/>
          </w:rPr>
          <m:t>KP</m:t>
        </m:r>
        <m:sSub>
          <m:sSubPr>
            <m:ctrlPr>
              <w:rPr>
                <w:rFonts w:ascii="Cambria Math" w:hAnsi="Cambria Math"/>
                <w:color w:val="000000" w:themeColor="text1"/>
                <w:sz w:val="22"/>
                <w:szCs w:val="22"/>
                <w:lang w:eastAsia="ko-KR"/>
              </w:rPr>
            </m:ctrlPr>
          </m:sSubPr>
          <m:e>
            <m:r>
              <m:rPr>
                <m:sty m:val="bi"/>
              </m:rPr>
              <w:rPr>
                <w:rFonts w:ascii="Cambria Math" w:hAnsi="Cambria Math"/>
                <w:color w:val="000000" w:themeColor="text1"/>
                <w:sz w:val="22"/>
                <w:szCs w:val="22"/>
                <w:lang w:eastAsia="ko-KR"/>
              </w:rPr>
              <m:t>I</m:t>
            </m:r>
          </m:e>
          <m:sub>
            <m:r>
              <m:rPr>
                <m:sty m:val="bi"/>
              </m:rPr>
              <w:rPr>
                <w:rFonts w:ascii="Cambria Math" w:hAnsi="Cambria Math"/>
                <w:color w:val="000000" w:themeColor="text1"/>
                <w:sz w:val="22"/>
                <w:szCs w:val="22"/>
                <w:lang w:eastAsia="ko-KR"/>
              </w:rPr>
              <m:t>Actual</m:t>
            </m:r>
          </m:sub>
        </m:sSub>
      </m:oMath>
      <w:r w:rsidR="002C5C8D" w:rsidRPr="00FA0F13">
        <w:rPr>
          <w:rFonts w:eastAsia="SimSun"/>
          <w:color w:val="000000" w:themeColor="text1"/>
          <w:sz w:val="22"/>
          <w:szCs w:val="22"/>
        </w:rPr>
        <w:t xml:space="preserve"> </w:t>
      </w:r>
      <w:r w:rsidRPr="001A4EDA">
        <w:rPr>
          <w:sz w:val="22"/>
          <w:szCs w:val="22"/>
        </w:rPr>
        <w:t>forms the basis for evaluating and deciding whether the AI-based approach offers a performance advantage.</w:t>
      </w:r>
    </w:p>
    <w:p w14:paraId="5D9AC860" w14:textId="77777777" w:rsidR="001A4EDA" w:rsidRDefault="001A4EDA" w:rsidP="005C30A2">
      <w:pPr>
        <w:rPr>
          <w:sz w:val="22"/>
          <w:szCs w:val="22"/>
        </w:rPr>
      </w:pPr>
    </w:p>
    <w:p w14:paraId="1343A3E3" w14:textId="77777777" w:rsidR="005C30A2" w:rsidRDefault="005C30A2" w:rsidP="005C30A2">
      <w:pPr>
        <w:rPr>
          <w:sz w:val="22"/>
          <w:szCs w:val="22"/>
        </w:rPr>
      </w:pPr>
      <w:r>
        <w:rPr>
          <w:sz w:val="22"/>
          <w:szCs w:val="22"/>
        </w:rPr>
        <w:t xml:space="preserve">  </w:t>
      </w:r>
    </w:p>
    <w:p w14:paraId="42984606" w14:textId="77777777" w:rsidR="004D5774" w:rsidRDefault="005C30A2" w:rsidP="007D660D">
      <w:pPr>
        <w:keepNext/>
        <w:jc w:val="center"/>
      </w:pPr>
      <w:r w:rsidRPr="0032705A">
        <w:rPr>
          <w:noProof/>
          <w:sz w:val="22"/>
          <w:szCs w:val="22"/>
        </w:rPr>
        <w:drawing>
          <wp:inline distT="0" distB="0" distL="0" distR="0" wp14:anchorId="22A39154" wp14:editId="780AF7AA">
            <wp:extent cx="3994879" cy="1582893"/>
            <wp:effectExtent l="0" t="0" r="0" b="5080"/>
            <wp:docPr id="1431787679" name="Picture 1" descr="A black background with blue and orang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787679" name="Picture 1" descr="A black background with blue and orange rectangles&#10;&#10;Description automatically generated"/>
                    <pic:cNvPicPr/>
                  </pic:nvPicPr>
                  <pic:blipFill>
                    <a:blip r:embed="rId11"/>
                    <a:stretch>
                      <a:fillRect/>
                    </a:stretch>
                  </pic:blipFill>
                  <pic:spPr>
                    <a:xfrm>
                      <a:off x="0" y="0"/>
                      <a:ext cx="4046438" cy="1603322"/>
                    </a:xfrm>
                    <a:prstGeom prst="rect">
                      <a:avLst/>
                    </a:prstGeom>
                  </pic:spPr>
                </pic:pic>
              </a:graphicData>
            </a:graphic>
          </wp:inline>
        </w:drawing>
      </w:r>
    </w:p>
    <w:p w14:paraId="24F304AC" w14:textId="083627B2" w:rsidR="005C30A2" w:rsidRPr="00EB34C7" w:rsidRDefault="004D5774" w:rsidP="007D660D">
      <w:pPr>
        <w:pStyle w:val="Caption"/>
        <w:rPr>
          <w:sz w:val="22"/>
          <w:szCs w:val="22"/>
        </w:rPr>
      </w:pPr>
      <w:bookmarkStart w:id="4" w:name="_Ref209530541"/>
      <w:r w:rsidRPr="00EB34C7">
        <w:rPr>
          <w:sz w:val="22"/>
          <w:szCs w:val="22"/>
        </w:rPr>
        <w:t xml:space="preserve">Figure </w:t>
      </w:r>
      <w:r w:rsidRPr="00EB34C7">
        <w:rPr>
          <w:sz w:val="22"/>
          <w:szCs w:val="22"/>
        </w:rPr>
        <w:fldChar w:fldCharType="begin"/>
      </w:r>
      <w:r w:rsidRPr="00EB34C7">
        <w:rPr>
          <w:sz w:val="22"/>
          <w:szCs w:val="22"/>
        </w:rPr>
        <w:instrText xml:space="preserve"> SEQ Figure \* ARABIC </w:instrText>
      </w:r>
      <w:r w:rsidRPr="00EB34C7">
        <w:rPr>
          <w:sz w:val="22"/>
          <w:szCs w:val="22"/>
        </w:rPr>
        <w:fldChar w:fldCharType="separate"/>
      </w:r>
      <w:r w:rsidR="00351743" w:rsidRPr="00EB34C7">
        <w:rPr>
          <w:noProof/>
          <w:sz w:val="22"/>
          <w:szCs w:val="22"/>
        </w:rPr>
        <w:t>6</w:t>
      </w:r>
      <w:r w:rsidRPr="00EB34C7">
        <w:rPr>
          <w:sz w:val="22"/>
          <w:szCs w:val="22"/>
        </w:rPr>
        <w:fldChar w:fldCharType="end"/>
      </w:r>
      <w:bookmarkEnd w:id="4"/>
      <w:r w:rsidRPr="00EB34C7">
        <w:rPr>
          <w:sz w:val="22"/>
          <w:szCs w:val="22"/>
        </w:rPr>
        <w:t>: Example of CSI-RS or DMRS transmission for performance monitoring.</w:t>
      </w:r>
    </w:p>
    <w:p w14:paraId="5DC37CDA" w14:textId="71053F32" w:rsidR="00A5550C" w:rsidRPr="00A5550C" w:rsidRDefault="00A5550C" w:rsidP="00A5550C">
      <w:pPr>
        <w:rPr>
          <w:sz w:val="22"/>
          <w:szCs w:val="22"/>
        </w:rPr>
      </w:pPr>
      <w:r w:rsidRPr="00A5550C">
        <w:rPr>
          <w:sz w:val="22"/>
          <w:szCs w:val="22"/>
        </w:rPr>
        <w:t>For UE-side performance monitoring, the timing of when the UE should trigger a report to the network requires further study. The UE should not immediately request a fallback to legacy feedback for every instance where the AI-based equivalent SNR is lower than the legacy-based SNR. Instead, a more robust mechanism</w:t>
      </w:r>
      <w:r>
        <w:rPr>
          <w:sz w:val="22"/>
          <w:szCs w:val="22"/>
        </w:rPr>
        <w:t xml:space="preserve"> </w:t>
      </w:r>
      <w:r w:rsidRPr="00A5550C">
        <w:rPr>
          <w:sz w:val="22"/>
          <w:szCs w:val="22"/>
        </w:rPr>
        <w:t>such as an averaging method or threshold-based approach</w:t>
      </w:r>
      <w:r>
        <w:rPr>
          <w:sz w:val="22"/>
          <w:szCs w:val="22"/>
        </w:rPr>
        <w:t xml:space="preserve"> </w:t>
      </w:r>
      <w:r w:rsidRPr="00A5550C">
        <w:rPr>
          <w:sz w:val="22"/>
          <w:szCs w:val="22"/>
        </w:rPr>
        <w:t xml:space="preserve">should be considered. </w:t>
      </w:r>
      <w:proofErr w:type="gramStart"/>
      <w:r w:rsidRPr="00A5550C">
        <w:rPr>
          <w:sz w:val="22"/>
          <w:szCs w:val="22"/>
        </w:rPr>
        <w:t>Similar to</w:t>
      </w:r>
      <w:proofErr w:type="gramEnd"/>
      <w:r w:rsidRPr="00A5550C">
        <w:rPr>
          <w:sz w:val="22"/>
          <w:szCs w:val="22"/>
        </w:rPr>
        <w:t xml:space="preserve"> techniques used in Radio Link Failure (RLF) or Beam Failure Detection (BFD), options like evaluation windows or counter-based schemes could be explored to ensure stability and avoid unnecessary fallback signaling.</w:t>
      </w:r>
    </w:p>
    <w:p w14:paraId="4A3F81B3" w14:textId="77777777" w:rsidR="00A5550C" w:rsidRPr="0063609A" w:rsidRDefault="00A5550C" w:rsidP="005C30A2">
      <w:pPr>
        <w:rPr>
          <w:sz w:val="22"/>
          <w:szCs w:val="22"/>
        </w:rPr>
      </w:pPr>
    </w:p>
    <w:p w14:paraId="461DB882" w14:textId="77777777" w:rsidR="005C30A2" w:rsidRDefault="005C30A2" w:rsidP="005C30A2">
      <w:pPr>
        <w:rPr>
          <w:b/>
          <w:bCs/>
          <w:sz w:val="22"/>
          <w:szCs w:val="22"/>
        </w:rPr>
      </w:pPr>
    </w:p>
    <w:p w14:paraId="0C8A6F9B" w14:textId="52FB9125" w:rsidR="005C30A2" w:rsidRDefault="005C30A2" w:rsidP="005C30A2">
      <w:pPr>
        <w:rPr>
          <w:b/>
          <w:bCs/>
          <w:sz w:val="22"/>
          <w:szCs w:val="22"/>
        </w:rPr>
      </w:pPr>
      <w:r w:rsidRPr="00F3271C">
        <w:rPr>
          <w:b/>
          <w:bCs/>
          <w:sz w:val="22"/>
          <w:szCs w:val="22"/>
        </w:rPr>
        <w:t xml:space="preserve">Observation </w:t>
      </w:r>
      <w:r w:rsidR="003A0AF7">
        <w:rPr>
          <w:b/>
          <w:bCs/>
          <w:sz w:val="22"/>
          <w:szCs w:val="22"/>
        </w:rPr>
        <w:t>2</w:t>
      </w:r>
      <w:r w:rsidRPr="00F3271C">
        <w:rPr>
          <w:b/>
          <w:bCs/>
          <w:sz w:val="22"/>
          <w:szCs w:val="22"/>
        </w:rPr>
        <w:t xml:space="preserve">: </w:t>
      </w:r>
      <w:r>
        <w:rPr>
          <w:b/>
          <w:bCs/>
          <w:sz w:val="22"/>
          <w:szCs w:val="22"/>
        </w:rPr>
        <w:t xml:space="preserve">For UE side performance, NW implicitly transmit output CSI using </w:t>
      </w:r>
      <w:proofErr w:type="spellStart"/>
      <w:r>
        <w:rPr>
          <w:b/>
          <w:bCs/>
          <w:sz w:val="22"/>
          <w:szCs w:val="22"/>
        </w:rPr>
        <w:t>precoded</w:t>
      </w:r>
      <w:proofErr w:type="spellEnd"/>
      <w:r>
        <w:rPr>
          <w:b/>
          <w:bCs/>
          <w:sz w:val="22"/>
          <w:szCs w:val="22"/>
        </w:rPr>
        <w:t xml:space="preserve"> CSI-RS </w:t>
      </w:r>
      <w:r w:rsidR="00A66056">
        <w:rPr>
          <w:b/>
          <w:bCs/>
          <w:sz w:val="22"/>
          <w:szCs w:val="22"/>
        </w:rPr>
        <w:t xml:space="preserve">or DMRS </w:t>
      </w:r>
      <w:r>
        <w:rPr>
          <w:b/>
          <w:bCs/>
          <w:sz w:val="22"/>
          <w:szCs w:val="22"/>
        </w:rPr>
        <w:t>to the UE</w:t>
      </w:r>
      <w:r w:rsidR="00805602">
        <w:rPr>
          <w:b/>
          <w:bCs/>
          <w:sz w:val="22"/>
          <w:szCs w:val="22"/>
        </w:rPr>
        <w:t>,</w:t>
      </w:r>
      <w:r>
        <w:rPr>
          <w:b/>
          <w:bCs/>
          <w:sz w:val="22"/>
          <w:szCs w:val="22"/>
        </w:rPr>
        <w:t xml:space="preserve"> provides a simple and low-overhead solution. </w:t>
      </w:r>
      <w:r w:rsidR="00805602">
        <w:rPr>
          <w:b/>
          <w:bCs/>
          <w:sz w:val="22"/>
          <w:szCs w:val="22"/>
        </w:rPr>
        <w:t xml:space="preserve">In addition, comparing with legacy codebook based on defined </w:t>
      </w:r>
      <w:proofErr w:type="spellStart"/>
      <w:proofErr w:type="gramStart"/>
      <w:r w:rsidR="00805602">
        <w:rPr>
          <w:b/>
          <w:bCs/>
          <w:sz w:val="22"/>
          <w:szCs w:val="22"/>
        </w:rPr>
        <w:t>KPI</w:t>
      </w:r>
      <w:r w:rsidR="007839FC">
        <w:rPr>
          <w:b/>
          <w:bCs/>
          <w:sz w:val="22"/>
          <w:szCs w:val="22"/>
          <w:vertAlign w:val="subscript"/>
        </w:rPr>
        <w:t>codebook</w:t>
      </w:r>
      <w:proofErr w:type="spellEnd"/>
      <w:r w:rsidR="007839FC">
        <w:rPr>
          <w:b/>
          <w:bCs/>
          <w:sz w:val="22"/>
          <w:szCs w:val="22"/>
          <w:vertAlign w:val="subscript"/>
        </w:rPr>
        <w:t xml:space="preserve"> </w:t>
      </w:r>
      <w:r w:rsidR="00805602">
        <w:rPr>
          <w:b/>
          <w:bCs/>
          <w:sz w:val="22"/>
          <w:szCs w:val="22"/>
        </w:rPr>
        <w:t xml:space="preserve"> and</w:t>
      </w:r>
      <w:proofErr w:type="gramEnd"/>
      <w:r w:rsidR="00805602">
        <w:rPr>
          <w:b/>
          <w:bCs/>
          <w:sz w:val="22"/>
          <w:szCs w:val="22"/>
        </w:rPr>
        <w:t xml:space="preserve"> </w:t>
      </w:r>
      <w:proofErr w:type="spellStart"/>
      <w:r w:rsidR="00805602">
        <w:rPr>
          <w:b/>
          <w:bCs/>
          <w:sz w:val="22"/>
          <w:szCs w:val="22"/>
        </w:rPr>
        <w:t>KPI</w:t>
      </w:r>
      <w:r w:rsidR="00805602" w:rsidRPr="00805602">
        <w:rPr>
          <w:b/>
          <w:bCs/>
          <w:sz w:val="22"/>
          <w:szCs w:val="22"/>
          <w:vertAlign w:val="subscript"/>
        </w:rPr>
        <w:t>actual</w:t>
      </w:r>
      <w:proofErr w:type="spellEnd"/>
      <w:r w:rsidR="00805602">
        <w:rPr>
          <w:b/>
          <w:bCs/>
          <w:sz w:val="22"/>
          <w:szCs w:val="22"/>
        </w:rPr>
        <w:t xml:space="preserve"> can help to determine whether fall back decision is required.  </w:t>
      </w:r>
    </w:p>
    <w:p w14:paraId="25994BAA" w14:textId="77777777" w:rsidR="00805602" w:rsidRDefault="00805602" w:rsidP="005C30A2">
      <w:pPr>
        <w:rPr>
          <w:b/>
          <w:bCs/>
          <w:sz w:val="22"/>
          <w:szCs w:val="22"/>
        </w:rPr>
      </w:pPr>
    </w:p>
    <w:p w14:paraId="35D33F72" w14:textId="428E3816" w:rsidR="00A5550C" w:rsidRDefault="00A5550C" w:rsidP="005C30A2">
      <w:pPr>
        <w:rPr>
          <w:sz w:val="22"/>
          <w:szCs w:val="22"/>
        </w:rPr>
      </w:pPr>
      <w:r w:rsidRPr="00A5550C">
        <w:rPr>
          <w:sz w:val="22"/>
          <w:szCs w:val="22"/>
        </w:rPr>
        <w:t>For network-side performance monitoring, the network can trigger L3 reports containing ground truth CSI and CSI feedback to enable L3-based performance monitoring and root cause analysis. Additionally, these L3 reports can be initiated based on UE-side performance monitoring events, such as after a fallback request is triggered.</w:t>
      </w:r>
    </w:p>
    <w:p w14:paraId="1CA5F1AB" w14:textId="63F88291" w:rsidR="00805602" w:rsidRDefault="00805602" w:rsidP="005C30A2">
      <w:pPr>
        <w:rPr>
          <w:b/>
          <w:bCs/>
          <w:sz w:val="22"/>
          <w:szCs w:val="22"/>
        </w:rPr>
      </w:pPr>
      <w:r>
        <w:rPr>
          <w:sz w:val="22"/>
          <w:szCs w:val="22"/>
        </w:rPr>
        <w:t xml:space="preserve"> </w:t>
      </w:r>
    </w:p>
    <w:p w14:paraId="35E8370B" w14:textId="2170FE4A" w:rsidR="005C30A2" w:rsidRDefault="005C30A2" w:rsidP="005C30A2">
      <w:pPr>
        <w:rPr>
          <w:b/>
          <w:bCs/>
          <w:sz w:val="22"/>
          <w:szCs w:val="22"/>
        </w:rPr>
      </w:pPr>
      <w:r>
        <w:rPr>
          <w:b/>
          <w:bCs/>
          <w:sz w:val="22"/>
          <w:szCs w:val="22"/>
        </w:rPr>
        <w:t xml:space="preserve">Proposal </w:t>
      </w:r>
      <w:r w:rsidR="00A1115F">
        <w:rPr>
          <w:b/>
          <w:bCs/>
          <w:sz w:val="22"/>
          <w:szCs w:val="22"/>
        </w:rPr>
        <w:t>5</w:t>
      </w:r>
      <w:r>
        <w:rPr>
          <w:b/>
          <w:bCs/>
          <w:sz w:val="22"/>
          <w:szCs w:val="22"/>
        </w:rPr>
        <w:t xml:space="preserve">: For CSI compression using two-sided model, </w:t>
      </w:r>
      <w:r w:rsidR="00805602">
        <w:rPr>
          <w:b/>
          <w:bCs/>
          <w:sz w:val="22"/>
          <w:szCs w:val="22"/>
        </w:rPr>
        <w:t xml:space="preserve">support UE side performance monitoring with </w:t>
      </w:r>
      <w:r w:rsidR="00AB18C5">
        <w:rPr>
          <w:b/>
          <w:bCs/>
          <w:sz w:val="22"/>
          <w:szCs w:val="22"/>
        </w:rPr>
        <w:t>pre-coded RS using output CSI</w:t>
      </w:r>
      <w:r w:rsidR="007839FC">
        <w:rPr>
          <w:b/>
          <w:bCs/>
          <w:sz w:val="22"/>
          <w:szCs w:val="22"/>
        </w:rPr>
        <w:t>.</w:t>
      </w:r>
      <w:r>
        <w:rPr>
          <w:b/>
          <w:bCs/>
          <w:sz w:val="22"/>
          <w:szCs w:val="22"/>
        </w:rPr>
        <w:t xml:space="preserve"> </w:t>
      </w:r>
      <w:r w:rsidR="007839FC">
        <w:rPr>
          <w:b/>
          <w:bCs/>
          <w:sz w:val="22"/>
          <w:szCs w:val="22"/>
        </w:rPr>
        <w:t>D</w:t>
      </w:r>
      <w:r>
        <w:rPr>
          <w:b/>
          <w:bCs/>
          <w:sz w:val="22"/>
          <w:szCs w:val="22"/>
        </w:rPr>
        <w:t>efine monitoring KPI using precoding gain</w:t>
      </w:r>
      <w:r w:rsidR="007839FC">
        <w:rPr>
          <w:b/>
          <w:bCs/>
          <w:sz w:val="22"/>
          <w:szCs w:val="22"/>
        </w:rPr>
        <w:t xml:space="preserve"> difference between </w:t>
      </w:r>
      <w:proofErr w:type="spellStart"/>
      <w:r w:rsidR="007839FC">
        <w:rPr>
          <w:b/>
          <w:bCs/>
          <w:sz w:val="22"/>
          <w:szCs w:val="22"/>
        </w:rPr>
        <w:t>KPI</w:t>
      </w:r>
      <w:r w:rsidR="007839FC">
        <w:rPr>
          <w:b/>
          <w:bCs/>
          <w:sz w:val="22"/>
          <w:szCs w:val="22"/>
          <w:vertAlign w:val="subscript"/>
        </w:rPr>
        <w:t>codebook</w:t>
      </w:r>
      <w:proofErr w:type="spellEnd"/>
      <w:r w:rsidR="007839FC">
        <w:rPr>
          <w:b/>
          <w:bCs/>
          <w:sz w:val="22"/>
          <w:szCs w:val="22"/>
        </w:rPr>
        <w:t xml:space="preserve"> and </w:t>
      </w:r>
      <w:proofErr w:type="spellStart"/>
      <w:r w:rsidR="007839FC">
        <w:rPr>
          <w:b/>
          <w:bCs/>
          <w:sz w:val="22"/>
          <w:szCs w:val="22"/>
        </w:rPr>
        <w:t>KPI</w:t>
      </w:r>
      <w:r w:rsidR="007839FC" w:rsidRPr="00805602">
        <w:rPr>
          <w:b/>
          <w:bCs/>
          <w:sz w:val="22"/>
          <w:szCs w:val="22"/>
          <w:vertAlign w:val="subscript"/>
        </w:rPr>
        <w:t>actual</w:t>
      </w:r>
      <w:proofErr w:type="spellEnd"/>
      <w:r w:rsidR="007839FC">
        <w:rPr>
          <w:b/>
          <w:bCs/>
          <w:sz w:val="22"/>
          <w:szCs w:val="22"/>
          <w:vertAlign w:val="subscript"/>
        </w:rPr>
        <w:t>.</w:t>
      </w:r>
    </w:p>
    <w:p w14:paraId="28948181" w14:textId="77777777" w:rsidR="005C30A2" w:rsidRDefault="005C30A2" w:rsidP="005C30A2">
      <w:pPr>
        <w:rPr>
          <w:b/>
          <w:bCs/>
          <w:sz w:val="22"/>
          <w:szCs w:val="22"/>
        </w:rPr>
      </w:pPr>
      <w:r>
        <w:rPr>
          <w:b/>
          <w:bCs/>
          <w:sz w:val="22"/>
          <w:szCs w:val="22"/>
        </w:rPr>
        <w:t xml:space="preserve"> </w:t>
      </w:r>
    </w:p>
    <w:p w14:paraId="643909E7" w14:textId="01112C65" w:rsidR="005C30A2" w:rsidRDefault="005C30A2" w:rsidP="005C30A2">
      <w:pPr>
        <w:rPr>
          <w:b/>
          <w:bCs/>
          <w:sz w:val="22"/>
          <w:szCs w:val="22"/>
        </w:rPr>
      </w:pPr>
      <w:r>
        <w:rPr>
          <w:b/>
          <w:bCs/>
          <w:sz w:val="22"/>
          <w:szCs w:val="22"/>
        </w:rPr>
        <w:t xml:space="preserve">Proposal </w:t>
      </w:r>
      <w:r w:rsidR="007C5AF0">
        <w:rPr>
          <w:b/>
          <w:bCs/>
          <w:sz w:val="22"/>
          <w:szCs w:val="22"/>
        </w:rPr>
        <w:t>6</w:t>
      </w:r>
      <w:r>
        <w:rPr>
          <w:b/>
          <w:bCs/>
          <w:sz w:val="22"/>
          <w:szCs w:val="22"/>
        </w:rPr>
        <w:t xml:space="preserve">: For CSI compression using two-sided model, for UE side performance, </w:t>
      </w:r>
      <w:r w:rsidR="003C6FD4">
        <w:rPr>
          <w:b/>
          <w:bCs/>
          <w:sz w:val="22"/>
          <w:szCs w:val="22"/>
        </w:rPr>
        <w:t>support</w:t>
      </w:r>
      <w:r>
        <w:rPr>
          <w:b/>
          <w:bCs/>
          <w:sz w:val="22"/>
          <w:szCs w:val="22"/>
        </w:rPr>
        <w:t xml:space="preserve"> RLF/BFD like mechanism</w:t>
      </w:r>
      <w:r w:rsidR="003C6FD4">
        <w:rPr>
          <w:b/>
          <w:bCs/>
          <w:sz w:val="22"/>
          <w:szCs w:val="22"/>
        </w:rPr>
        <w:t xml:space="preserve">. </w:t>
      </w:r>
      <w:r>
        <w:rPr>
          <w:b/>
          <w:bCs/>
          <w:sz w:val="22"/>
          <w:szCs w:val="22"/>
        </w:rPr>
        <w:t xml:space="preserve">UE </w:t>
      </w:r>
      <w:r w:rsidR="003C6FD4">
        <w:rPr>
          <w:b/>
          <w:bCs/>
          <w:sz w:val="22"/>
          <w:szCs w:val="22"/>
        </w:rPr>
        <w:t xml:space="preserve">transmit fallback </w:t>
      </w:r>
      <w:r w:rsidR="007839FC">
        <w:rPr>
          <w:b/>
          <w:bCs/>
          <w:sz w:val="22"/>
          <w:szCs w:val="22"/>
        </w:rPr>
        <w:t>request</w:t>
      </w:r>
      <w:r w:rsidR="003C6FD4">
        <w:rPr>
          <w:b/>
          <w:bCs/>
          <w:sz w:val="22"/>
          <w:szCs w:val="22"/>
        </w:rPr>
        <w:t xml:space="preserve"> via </w:t>
      </w:r>
      <w:r w:rsidR="007839FC">
        <w:rPr>
          <w:b/>
          <w:bCs/>
          <w:sz w:val="22"/>
          <w:szCs w:val="22"/>
        </w:rPr>
        <w:t>the applicability report procedure with UAI</w:t>
      </w:r>
      <w:r>
        <w:rPr>
          <w:b/>
          <w:bCs/>
          <w:sz w:val="22"/>
          <w:szCs w:val="22"/>
        </w:rPr>
        <w:t>.</w:t>
      </w:r>
    </w:p>
    <w:p w14:paraId="5CD4BB5C" w14:textId="77777777" w:rsidR="005C30A2" w:rsidRDefault="005C30A2" w:rsidP="00A17182">
      <w:pPr>
        <w:rPr>
          <w:sz w:val="22"/>
          <w:szCs w:val="22"/>
        </w:rPr>
      </w:pPr>
    </w:p>
    <w:p w14:paraId="09AE88C7" w14:textId="6EF9C123" w:rsidR="008E4E04" w:rsidRDefault="007839FC" w:rsidP="008E4E04">
      <w:pPr>
        <w:rPr>
          <w:sz w:val="22"/>
          <w:szCs w:val="22"/>
        </w:rPr>
      </w:pPr>
      <w:r>
        <w:rPr>
          <w:b/>
          <w:bCs/>
          <w:sz w:val="22"/>
          <w:szCs w:val="22"/>
        </w:rPr>
        <w:lastRenderedPageBreak/>
        <w:t xml:space="preserve">Proposal </w:t>
      </w:r>
      <w:r w:rsidR="007C5AF0">
        <w:rPr>
          <w:b/>
          <w:bCs/>
          <w:sz w:val="22"/>
          <w:szCs w:val="22"/>
        </w:rPr>
        <w:t>7</w:t>
      </w:r>
      <w:r>
        <w:rPr>
          <w:b/>
          <w:bCs/>
          <w:sz w:val="22"/>
          <w:szCs w:val="22"/>
        </w:rPr>
        <w:t xml:space="preserve">: For CSI compression using two-sided model, for NW side performance monitoring, UE report CSI feedback and target CSI pair using immediate MDT with logging framework. The MDT framework can be used for root cause detection following UE side performance monitoring. </w:t>
      </w:r>
    </w:p>
    <w:p w14:paraId="07C1DDAA" w14:textId="7BF03F76" w:rsidR="008E4E04" w:rsidRDefault="00206AFD" w:rsidP="008E4E04">
      <w:pPr>
        <w:pStyle w:val="Heading1"/>
      </w:pPr>
      <w:r>
        <w:t>Pairing related issues</w:t>
      </w:r>
    </w:p>
    <w:p w14:paraId="40F207D0" w14:textId="68727FE0" w:rsidR="003C6FD4" w:rsidRDefault="003C6FD4" w:rsidP="004B05C4">
      <w:pPr>
        <w:pStyle w:val="NormalWeb"/>
        <w:rPr>
          <w:rFonts w:ascii="Times New Roman" w:hAnsi="Times New Roman" w:cs="Times New Roman"/>
          <w:color w:val="000000" w:themeColor="text1"/>
          <w:sz w:val="22"/>
          <w:szCs w:val="22"/>
        </w:rPr>
      </w:pPr>
      <w:r w:rsidRPr="003C6FD4">
        <w:rPr>
          <w:rFonts w:ascii="Times New Roman" w:hAnsi="Times New Roman" w:cs="Times New Roman"/>
          <w:color w:val="000000" w:themeColor="text1"/>
          <w:sz w:val="22"/>
          <w:szCs w:val="22"/>
        </w:rPr>
        <w:t xml:space="preserve">To enable AI-based compression, it is essential that the UE and </w:t>
      </w:r>
      <w:proofErr w:type="spellStart"/>
      <w:r w:rsidRPr="003C6FD4">
        <w:rPr>
          <w:rFonts w:ascii="Times New Roman" w:hAnsi="Times New Roman" w:cs="Times New Roman"/>
          <w:color w:val="000000" w:themeColor="text1"/>
          <w:sz w:val="22"/>
          <w:szCs w:val="22"/>
        </w:rPr>
        <w:t>gNB</w:t>
      </w:r>
      <w:proofErr w:type="spellEnd"/>
      <w:r w:rsidRPr="003C6FD4">
        <w:rPr>
          <w:rFonts w:ascii="Times New Roman" w:hAnsi="Times New Roman" w:cs="Times New Roman"/>
          <w:color w:val="000000" w:themeColor="text1"/>
          <w:sz w:val="22"/>
          <w:szCs w:val="22"/>
        </w:rPr>
        <w:t xml:space="preserve"> maintain a shared understanding of the compression/</w:t>
      </w:r>
      <w:r>
        <w:rPr>
          <w:rFonts w:ascii="Times New Roman" w:hAnsi="Times New Roman" w:cs="Times New Roman"/>
          <w:color w:val="000000" w:themeColor="text1"/>
          <w:sz w:val="22"/>
          <w:szCs w:val="22"/>
        </w:rPr>
        <w:t>reconstruction</w:t>
      </w:r>
      <w:r w:rsidRPr="003C6FD4">
        <w:rPr>
          <w:rFonts w:ascii="Times New Roman" w:hAnsi="Times New Roman" w:cs="Times New Roman"/>
          <w:color w:val="000000" w:themeColor="text1"/>
          <w:sz w:val="22"/>
          <w:szCs w:val="22"/>
        </w:rPr>
        <w:t xml:space="preserve"> model pair. </w:t>
      </w:r>
      <w:r>
        <w:rPr>
          <w:rFonts w:ascii="Times New Roman" w:hAnsi="Times New Roman" w:cs="Times New Roman"/>
          <w:color w:val="000000" w:themeColor="text1"/>
          <w:sz w:val="22"/>
          <w:szCs w:val="22"/>
        </w:rPr>
        <w:t>A</w:t>
      </w:r>
      <w:r w:rsidRPr="003C6FD4">
        <w:rPr>
          <w:rFonts w:ascii="Times New Roman" w:hAnsi="Times New Roman" w:cs="Times New Roman"/>
          <w:color w:val="000000" w:themeColor="text1"/>
          <w:sz w:val="22"/>
          <w:szCs w:val="22"/>
        </w:rPr>
        <w:t xml:space="preserve"> new identifier, called </w:t>
      </w:r>
      <w:proofErr w:type="spellStart"/>
      <w:r w:rsidRPr="003C6FD4">
        <w:rPr>
          <w:rFonts w:ascii="Times New Roman" w:hAnsi="Times New Roman" w:cs="Times New Roman"/>
          <w:color w:val="000000" w:themeColor="text1"/>
          <w:sz w:val="22"/>
          <w:szCs w:val="22"/>
        </w:rPr>
        <w:t>pairingID</w:t>
      </w:r>
      <w:proofErr w:type="spellEnd"/>
      <w:r w:rsidRPr="003C6FD4">
        <w:rPr>
          <w:rFonts w:ascii="Times New Roman" w:hAnsi="Times New Roman" w:cs="Times New Roman"/>
          <w:color w:val="000000" w:themeColor="text1"/>
          <w:sz w:val="22"/>
          <w:szCs w:val="22"/>
        </w:rPr>
        <w:t xml:space="preserve"> (or </w:t>
      </w:r>
      <w:proofErr w:type="spellStart"/>
      <w:r w:rsidRPr="003C6FD4">
        <w:rPr>
          <w:rFonts w:ascii="Times New Roman" w:hAnsi="Times New Roman" w:cs="Times New Roman"/>
          <w:color w:val="000000" w:themeColor="text1"/>
          <w:sz w:val="22"/>
          <w:szCs w:val="22"/>
        </w:rPr>
        <w:t>modelID</w:t>
      </w:r>
      <w:proofErr w:type="spellEnd"/>
      <w:r w:rsidRPr="003C6FD4">
        <w:rPr>
          <w:rFonts w:ascii="Times New Roman" w:hAnsi="Times New Roman" w:cs="Times New Roman"/>
          <w:color w:val="000000" w:themeColor="text1"/>
          <w:sz w:val="22"/>
          <w:szCs w:val="22"/>
        </w:rPr>
        <w:t xml:space="preserve">), </w:t>
      </w:r>
      <w:r>
        <w:rPr>
          <w:rFonts w:ascii="Times New Roman" w:hAnsi="Times New Roman" w:cs="Times New Roman"/>
          <w:color w:val="000000" w:themeColor="text1"/>
          <w:sz w:val="22"/>
          <w:szCs w:val="22"/>
        </w:rPr>
        <w:t xml:space="preserve">is used </w:t>
      </w:r>
      <w:r w:rsidRPr="003C6FD4">
        <w:rPr>
          <w:rFonts w:ascii="Times New Roman" w:hAnsi="Times New Roman" w:cs="Times New Roman"/>
          <w:color w:val="000000" w:themeColor="text1"/>
          <w:sz w:val="22"/>
          <w:szCs w:val="22"/>
        </w:rPr>
        <w:t xml:space="preserve">to link the selected AI encoder in the UE with the corresponding AI decoder in the </w:t>
      </w:r>
      <w:proofErr w:type="spellStart"/>
      <w:r w:rsidRPr="003C6FD4">
        <w:rPr>
          <w:rFonts w:ascii="Times New Roman" w:hAnsi="Times New Roman" w:cs="Times New Roman"/>
          <w:color w:val="000000" w:themeColor="text1"/>
          <w:sz w:val="22"/>
          <w:szCs w:val="22"/>
        </w:rPr>
        <w:t>gNB</w:t>
      </w:r>
      <w:proofErr w:type="spellEnd"/>
      <w:r w:rsidRPr="003C6FD4">
        <w:rPr>
          <w:rFonts w:ascii="Times New Roman" w:hAnsi="Times New Roman" w:cs="Times New Roman"/>
          <w:color w:val="000000" w:themeColor="text1"/>
          <w:sz w:val="22"/>
          <w:szCs w:val="22"/>
        </w:rPr>
        <w:t xml:space="preserve">. </w:t>
      </w:r>
      <w:r w:rsidR="001D01E2">
        <w:rPr>
          <w:rFonts w:ascii="Times New Roman" w:hAnsi="Times New Roman" w:cs="Times New Roman"/>
          <w:color w:val="000000" w:themeColor="text1"/>
          <w:sz w:val="22"/>
          <w:szCs w:val="22"/>
        </w:rPr>
        <w:t>Below agreements have been made regarding</w:t>
      </w:r>
      <w:r w:rsidR="001D01E2" w:rsidRPr="003C6FD4">
        <w:rPr>
          <w:rFonts w:ascii="Times New Roman" w:hAnsi="Times New Roman" w:cs="Times New Roman"/>
          <w:color w:val="000000" w:themeColor="text1"/>
          <w:sz w:val="22"/>
          <w:szCs w:val="22"/>
        </w:rPr>
        <w:t xml:space="preserve"> </w:t>
      </w:r>
      <w:proofErr w:type="spellStart"/>
      <w:r w:rsidRPr="003C6FD4">
        <w:rPr>
          <w:rFonts w:ascii="Times New Roman" w:hAnsi="Times New Roman" w:cs="Times New Roman"/>
          <w:color w:val="000000" w:themeColor="text1"/>
          <w:sz w:val="22"/>
          <w:szCs w:val="22"/>
        </w:rPr>
        <w:t>pairingID</w:t>
      </w:r>
      <w:proofErr w:type="spellEnd"/>
      <w:r w:rsidRPr="003C6FD4">
        <w:rPr>
          <w:rFonts w:ascii="Times New Roman" w:hAnsi="Times New Roman" w:cs="Times New Roman"/>
          <w:color w:val="000000" w:themeColor="text1"/>
          <w:sz w:val="22"/>
          <w:szCs w:val="22"/>
        </w:rPr>
        <w:t xml:space="preserve"> </w:t>
      </w:r>
      <w:r w:rsidR="001D01E2">
        <w:rPr>
          <w:rFonts w:ascii="Times New Roman" w:hAnsi="Times New Roman" w:cs="Times New Roman"/>
          <w:color w:val="000000" w:themeColor="text1"/>
          <w:sz w:val="22"/>
          <w:szCs w:val="22"/>
        </w:rPr>
        <w:t>in recent meetings</w:t>
      </w:r>
      <w:r w:rsidRPr="003C6FD4">
        <w:rPr>
          <w:rFonts w:ascii="Times New Roman" w:hAnsi="Times New Roman" w:cs="Times New Roman"/>
          <w:color w:val="000000" w:themeColor="text1"/>
          <w:sz w:val="22"/>
          <w:szCs w:val="22"/>
        </w:rPr>
        <w:t>:</w:t>
      </w:r>
    </w:p>
    <w:p w14:paraId="79510E41" w14:textId="52BA608B" w:rsidR="004C351A" w:rsidRDefault="00C90046" w:rsidP="004B05C4">
      <w:pPr>
        <w:pStyle w:val="NormalWeb"/>
        <w:rPr>
          <w:rFonts w:ascii="Times New Roman" w:hAnsi="Times New Roman" w:cs="Times New Roman"/>
          <w:color w:val="000000" w:themeColor="text1"/>
          <w:sz w:val="22"/>
          <w:szCs w:val="22"/>
        </w:rPr>
      </w:pPr>
      <w:r w:rsidRPr="00F92B76">
        <w:rPr>
          <w:rFonts w:ascii="Times New Roman" w:hAnsi="Times New Roman" w:cs="Times New Roman"/>
          <w:noProof/>
          <w:color w:val="000000" w:themeColor="text1"/>
          <w:sz w:val="22"/>
          <w:szCs w:val="22"/>
        </w:rPr>
        <mc:AlternateContent>
          <mc:Choice Requires="wps">
            <w:drawing>
              <wp:anchor distT="0" distB="0" distL="114300" distR="114300" simplePos="0" relativeHeight="251674624" behindDoc="0" locked="0" layoutInCell="1" allowOverlap="1" wp14:anchorId="0C3907B9" wp14:editId="382609A2">
                <wp:simplePos x="0" y="0"/>
                <wp:positionH relativeFrom="column">
                  <wp:posOffset>0</wp:posOffset>
                </wp:positionH>
                <wp:positionV relativeFrom="paragraph">
                  <wp:posOffset>31774</wp:posOffset>
                </wp:positionV>
                <wp:extent cx="5726474" cy="1987550"/>
                <wp:effectExtent l="0" t="0" r="13970" b="19050"/>
                <wp:wrapNone/>
                <wp:docPr id="31193449" name="Text Box 3"/>
                <wp:cNvGraphicFramePr/>
                <a:graphic xmlns:a="http://schemas.openxmlformats.org/drawingml/2006/main">
                  <a:graphicData uri="http://schemas.microsoft.com/office/word/2010/wordprocessingShape">
                    <wps:wsp>
                      <wps:cNvSpPr txBox="1"/>
                      <wps:spPr>
                        <a:xfrm>
                          <a:off x="0" y="0"/>
                          <a:ext cx="5726474" cy="1987550"/>
                        </a:xfrm>
                        <a:prstGeom prst="rect">
                          <a:avLst/>
                        </a:prstGeom>
                        <a:solidFill>
                          <a:schemeClr val="lt1"/>
                        </a:solidFill>
                        <a:ln w="6350">
                          <a:solidFill>
                            <a:prstClr val="black"/>
                          </a:solidFill>
                        </a:ln>
                      </wps:spPr>
                      <wps:txbx>
                        <w:txbxContent>
                          <w:p w14:paraId="54720316" w14:textId="5A71A0F4" w:rsidR="004C351A" w:rsidRPr="001C050E" w:rsidRDefault="004C351A" w:rsidP="004C351A">
                            <w:pPr>
                              <w:rPr>
                                <w:rFonts w:eastAsia="DengXian"/>
                                <w:sz w:val="22"/>
                                <w:szCs w:val="22"/>
                                <w:highlight w:val="green"/>
                              </w:rPr>
                            </w:pPr>
                            <w:r w:rsidRPr="001C050E">
                              <w:rPr>
                                <w:rFonts w:eastAsia="DengXian"/>
                                <w:sz w:val="22"/>
                                <w:szCs w:val="22"/>
                                <w:highlight w:val="green"/>
                              </w:rPr>
                              <w:t>Agreement</w:t>
                            </w:r>
                            <w:r w:rsidR="00060A07" w:rsidRPr="00C451A9">
                              <w:rPr>
                                <w:rFonts w:eastAsia="DengXian"/>
                                <w:sz w:val="22"/>
                                <w:szCs w:val="22"/>
                              </w:rPr>
                              <w:t xml:space="preserve"> (</w:t>
                            </w:r>
                            <w:r w:rsidR="00060A07">
                              <w:rPr>
                                <w:rFonts w:eastAsia="DengXian"/>
                                <w:sz w:val="22"/>
                                <w:szCs w:val="22"/>
                              </w:rPr>
                              <w:t>RAN1 #120bis</w:t>
                            </w:r>
                            <w:r w:rsidR="00060A07" w:rsidRPr="00C451A9">
                              <w:rPr>
                                <w:rFonts w:eastAsia="DengXian"/>
                                <w:sz w:val="22"/>
                                <w:szCs w:val="22"/>
                              </w:rPr>
                              <w:t>)</w:t>
                            </w:r>
                          </w:p>
                          <w:p w14:paraId="34ED37BD" w14:textId="77777777" w:rsidR="004C351A" w:rsidRPr="001C050E" w:rsidRDefault="004C351A" w:rsidP="004C351A">
                            <w:pPr>
                              <w:rPr>
                                <w:rFonts w:eastAsia="DengXian"/>
                                <w:sz w:val="22"/>
                                <w:szCs w:val="22"/>
                              </w:rPr>
                            </w:pPr>
                            <w:r w:rsidRPr="001C050E">
                              <w:rPr>
                                <w:sz w:val="22"/>
                                <w:szCs w:val="22"/>
                              </w:rPr>
                              <w:t>In Options 3a-1 and 4-1, the exchanged dataset or the model parameters can be associated with an ID</w:t>
                            </w:r>
                            <w:r w:rsidRPr="001C050E">
                              <w:rPr>
                                <w:rFonts w:eastAsia="DengXian"/>
                                <w:sz w:val="22"/>
                                <w:szCs w:val="22"/>
                              </w:rPr>
                              <w:t xml:space="preserve"> for pairing related discussion, then</w:t>
                            </w:r>
                          </w:p>
                          <w:p w14:paraId="0B8011D9"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4B39708C"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759F85F8"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03E37681"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 xml:space="preserve">The same ID </w:t>
                            </w:r>
                            <w:r w:rsidRPr="001C050E">
                              <w:rPr>
                                <w:rFonts w:ascii="Times New Roman" w:eastAsia="DengXian" w:hAnsi="Times New Roman"/>
                                <w:sz w:val="22"/>
                                <w:szCs w:val="22"/>
                              </w:rPr>
                              <w:t>can be</w:t>
                            </w:r>
                            <w:r w:rsidRPr="001C050E">
                              <w:rPr>
                                <w:rFonts w:ascii="Times New Roman" w:hAnsi="Times New Roman"/>
                                <w:sz w:val="22"/>
                                <w:szCs w:val="22"/>
                              </w:rPr>
                              <w:t xml:space="preserve"> used for NW-side data collection</w:t>
                            </w:r>
                          </w:p>
                          <w:p w14:paraId="4845ECA2"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3D93DE6A"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w:t>
                            </w:r>
                          </w:p>
                          <w:p w14:paraId="6CC860FF"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907B9" id="_x0000_s1030" type="#_x0000_t202" style="position:absolute;margin-left:0;margin-top:2.5pt;width:450.9pt;height:15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" fillcolor="white [3201]" strokeweight=".5pt">
                <v:textbox>
                  <w:txbxContent>
                    <w:p w14:paraId="54720316" w14:textId="5A71A0F4" w:rsidR="004C351A" w:rsidRPr="001C050E" w:rsidRDefault="004C351A" w:rsidP="004C351A">
                      <w:pPr>
                        <w:rPr>
                          <w:rFonts w:eastAsia="DengXian"/>
                          <w:sz w:val="22"/>
                          <w:szCs w:val="22"/>
                          <w:highlight w:val="green"/>
                        </w:rPr>
                      </w:pPr>
                      <w:r w:rsidRPr="001C050E">
                        <w:rPr>
                          <w:rFonts w:eastAsia="DengXian"/>
                          <w:sz w:val="22"/>
                          <w:szCs w:val="22"/>
                          <w:highlight w:val="green"/>
                        </w:rPr>
                        <w:t>Agreement</w:t>
                      </w:r>
                      <w:r w:rsidR="00060A07" w:rsidRPr="00C451A9">
                        <w:rPr>
                          <w:rFonts w:eastAsia="DengXian"/>
                          <w:sz w:val="22"/>
                          <w:szCs w:val="22"/>
                        </w:rPr>
                        <w:t xml:space="preserve"> (</w:t>
                      </w:r>
                      <w:r w:rsidR="00060A07">
                        <w:rPr>
                          <w:rFonts w:eastAsia="DengXian"/>
                          <w:sz w:val="22"/>
                          <w:szCs w:val="22"/>
                        </w:rPr>
                        <w:t>RAN1 #120bis</w:t>
                      </w:r>
                      <w:r w:rsidR="00060A07" w:rsidRPr="00C451A9">
                        <w:rPr>
                          <w:rFonts w:eastAsia="DengXian"/>
                          <w:sz w:val="22"/>
                          <w:szCs w:val="22"/>
                        </w:rPr>
                        <w:t>)</w:t>
                      </w:r>
                    </w:p>
                    <w:p w14:paraId="34ED37BD" w14:textId="77777777" w:rsidR="004C351A" w:rsidRPr="001C050E" w:rsidRDefault="004C351A" w:rsidP="004C351A">
                      <w:pPr>
                        <w:rPr>
                          <w:rFonts w:eastAsia="DengXian"/>
                          <w:sz w:val="22"/>
                          <w:szCs w:val="22"/>
                        </w:rPr>
                      </w:pPr>
                      <w:r w:rsidRPr="001C050E">
                        <w:rPr>
                          <w:sz w:val="22"/>
                          <w:szCs w:val="22"/>
                        </w:rPr>
                        <w:t>In Options 3a-1 and 4-1, the exchanged dataset or the model parameters can be associated with an ID</w:t>
                      </w:r>
                      <w:r w:rsidRPr="001C050E">
                        <w:rPr>
                          <w:rFonts w:eastAsia="DengXian"/>
                          <w:sz w:val="22"/>
                          <w:szCs w:val="22"/>
                        </w:rPr>
                        <w:t xml:space="preserve"> for pairing related discussion, then</w:t>
                      </w:r>
                    </w:p>
                    <w:p w14:paraId="0B8011D9"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4B39708C"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759F85F8"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03E37681"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 xml:space="preserve">The same ID </w:t>
                      </w:r>
                      <w:r w:rsidRPr="001C050E">
                        <w:rPr>
                          <w:rFonts w:ascii="Times New Roman" w:eastAsia="DengXian" w:hAnsi="Times New Roman"/>
                          <w:sz w:val="22"/>
                          <w:szCs w:val="22"/>
                        </w:rPr>
                        <w:t>can be</w:t>
                      </w:r>
                      <w:r w:rsidRPr="001C050E">
                        <w:rPr>
                          <w:rFonts w:ascii="Times New Roman" w:hAnsi="Times New Roman"/>
                          <w:sz w:val="22"/>
                          <w:szCs w:val="22"/>
                        </w:rPr>
                        <w:t xml:space="preserve"> used for NW-side data collection</w:t>
                      </w:r>
                    </w:p>
                    <w:p w14:paraId="4845ECA2"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3D93DE6A"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w:t>
                      </w:r>
                    </w:p>
                    <w:p w14:paraId="6CC860FF" w14:textId="77777777" w:rsidR="004C351A" w:rsidRPr="001C050E" w:rsidRDefault="004C351A" w:rsidP="004C351A">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txbxContent>
                </v:textbox>
              </v:shape>
            </w:pict>
          </mc:Fallback>
        </mc:AlternateContent>
      </w:r>
    </w:p>
    <w:p w14:paraId="4AAE27B8" w14:textId="647AB68E" w:rsidR="004C351A" w:rsidRDefault="004C351A" w:rsidP="004B05C4">
      <w:pPr>
        <w:pStyle w:val="NormalWeb"/>
        <w:rPr>
          <w:rFonts w:ascii="Times New Roman" w:hAnsi="Times New Roman" w:cs="Times New Roman"/>
          <w:color w:val="000000" w:themeColor="text1"/>
          <w:sz w:val="22"/>
          <w:szCs w:val="22"/>
        </w:rPr>
      </w:pPr>
    </w:p>
    <w:p w14:paraId="08031013" w14:textId="77777777" w:rsidR="004C351A" w:rsidRDefault="004C351A" w:rsidP="004B05C4">
      <w:pPr>
        <w:pStyle w:val="NormalWeb"/>
        <w:rPr>
          <w:rFonts w:ascii="Times New Roman" w:hAnsi="Times New Roman" w:cs="Times New Roman"/>
          <w:color w:val="000000" w:themeColor="text1"/>
          <w:sz w:val="22"/>
          <w:szCs w:val="22"/>
        </w:rPr>
      </w:pPr>
    </w:p>
    <w:p w14:paraId="48873A41" w14:textId="77777777" w:rsidR="004C351A" w:rsidRDefault="004C351A" w:rsidP="004B05C4">
      <w:pPr>
        <w:pStyle w:val="NormalWeb"/>
        <w:rPr>
          <w:rFonts w:ascii="Times New Roman" w:hAnsi="Times New Roman" w:cs="Times New Roman"/>
          <w:color w:val="000000" w:themeColor="text1"/>
          <w:sz w:val="22"/>
          <w:szCs w:val="22"/>
        </w:rPr>
      </w:pPr>
    </w:p>
    <w:p w14:paraId="5A261F89" w14:textId="77777777" w:rsidR="004C351A" w:rsidRDefault="004C351A" w:rsidP="004B05C4">
      <w:pPr>
        <w:pStyle w:val="NormalWeb"/>
        <w:rPr>
          <w:rFonts w:ascii="Times New Roman" w:hAnsi="Times New Roman" w:cs="Times New Roman"/>
          <w:color w:val="000000" w:themeColor="text1"/>
          <w:sz w:val="22"/>
          <w:szCs w:val="22"/>
        </w:rPr>
      </w:pPr>
    </w:p>
    <w:p w14:paraId="6355DE5D" w14:textId="77777777" w:rsidR="004C351A" w:rsidRDefault="004C351A" w:rsidP="004B05C4">
      <w:pPr>
        <w:pStyle w:val="NormalWeb"/>
        <w:rPr>
          <w:rFonts w:ascii="Times New Roman" w:hAnsi="Times New Roman" w:cs="Times New Roman"/>
          <w:color w:val="000000" w:themeColor="text1"/>
          <w:sz w:val="22"/>
          <w:szCs w:val="22"/>
        </w:rPr>
      </w:pPr>
    </w:p>
    <w:p w14:paraId="337BD5F8" w14:textId="3C3DBECC" w:rsidR="004B05C4" w:rsidRDefault="004C351A" w:rsidP="004B05C4">
      <w:pPr>
        <w:pStyle w:val="NormalWeb"/>
        <w:rPr>
          <w:rFonts w:ascii="Times New Roman" w:hAnsi="Times New Roman" w:cs="Times New Roman"/>
          <w:sz w:val="22"/>
          <w:szCs w:val="22"/>
        </w:rPr>
      </w:pPr>
      <w:r>
        <w:rPr>
          <w:noProof/>
          <w:sz w:val="22"/>
          <w:szCs w:val="22"/>
        </w:rPr>
        <mc:AlternateContent>
          <mc:Choice Requires="wps">
            <w:drawing>
              <wp:anchor distT="0" distB="0" distL="114300" distR="114300" simplePos="0" relativeHeight="251670528" behindDoc="0" locked="0" layoutInCell="1" allowOverlap="1" wp14:anchorId="7AB63322" wp14:editId="4B7C4797">
                <wp:simplePos x="0" y="0"/>
                <wp:positionH relativeFrom="column">
                  <wp:posOffset>-14122</wp:posOffset>
                </wp:positionH>
                <wp:positionV relativeFrom="paragraph">
                  <wp:posOffset>38144</wp:posOffset>
                </wp:positionV>
                <wp:extent cx="5740552" cy="1885950"/>
                <wp:effectExtent l="0" t="0" r="12700" b="19050"/>
                <wp:wrapNone/>
                <wp:docPr id="1461238710" name="Text Box 4"/>
                <wp:cNvGraphicFramePr/>
                <a:graphic xmlns:a="http://schemas.openxmlformats.org/drawingml/2006/main">
                  <a:graphicData uri="http://schemas.microsoft.com/office/word/2010/wordprocessingShape">
                    <wps:wsp>
                      <wps:cNvSpPr txBox="1"/>
                      <wps:spPr>
                        <a:xfrm>
                          <a:off x="0" y="0"/>
                          <a:ext cx="5740552" cy="1885950"/>
                        </a:xfrm>
                        <a:prstGeom prst="rect">
                          <a:avLst/>
                        </a:prstGeom>
                        <a:solidFill>
                          <a:schemeClr val="lt1"/>
                        </a:solidFill>
                        <a:ln w="6350">
                          <a:solidFill>
                            <a:prstClr val="black"/>
                          </a:solidFill>
                        </a:ln>
                      </wps:spPr>
                      <wps:txbx>
                        <w:txbxContent>
                          <w:p w14:paraId="273D53B5" w14:textId="3BB5CAD5" w:rsidR="004B05C4" w:rsidRPr="001C050E" w:rsidRDefault="004B05C4" w:rsidP="004B05C4">
                            <w:pPr>
                              <w:rPr>
                                <w:rFonts w:eastAsia="DengXian"/>
                                <w:iCs/>
                                <w:sz w:val="22"/>
                                <w:szCs w:val="22"/>
                                <w:highlight w:val="green"/>
                              </w:rPr>
                            </w:pPr>
                            <w:r w:rsidRPr="001C050E">
                              <w:rPr>
                                <w:rFonts w:eastAsia="DengXian"/>
                                <w:iCs/>
                                <w:sz w:val="22"/>
                                <w:szCs w:val="22"/>
                                <w:highlight w:val="green"/>
                              </w:rPr>
                              <w:t>Agreement</w:t>
                            </w:r>
                            <w:r w:rsidR="00060A07">
                              <w:rPr>
                                <w:rFonts w:eastAsia="DengXian"/>
                                <w:iCs/>
                                <w:sz w:val="22"/>
                                <w:szCs w:val="22"/>
                                <w:highlight w:val="green"/>
                              </w:rPr>
                              <w:t xml:space="preserve"> </w:t>
                            </w:r>
                            <w:r w:rsidR="00060A07" w:rsidRPr="00683AE7">
                              <w:rPr>
                                <w:rFonts w:eastAsia="DengXian"/>
                                <w:sz w:val="22"/>
                                <w:szCs w:val="22"/>
                              </w:rPr>
                              <w:t>(</w:t>
                            </w:r>
                            <w:r w:rsidR="00060A07">
                              <w:rPr>
                                <w:rFonts w:eastAsia="DengXian"/>
                                <w:sz w:val="22"/>
                                <w:szCs w:val="22"/>
                              </w:rPr>
                              <w:t>RAN1 #120bis</w:t>
                            </w:r>
                            <w:r w:rsidR="00060A07" w:rsidRPr="00683AE7">
                              <w:rPr>
                                <w:rFonts w:eastAsia="DengXian"/>
                                <w:sz w:val="22"/>
                                <w:szCs w:val="22"/>
                              </w:rPr>
                              <w:t>)</w:t>
                            </w:r>
                          </w:p>
                          <w:p w14:paraId="76C12037" w14:textId="77777777" w:rsidR="004B05C4" w:rsidRPr="001C050E" w:rsidRDefault="004B05C4" w:rsidP="004B05C4">
                            <w:pPr>
                              <w:rPr>
                                <w:rFonts w:eastAsia="DengXian"/>
                                <w:sz w:val="22"/>
                                <w:szCs w:val="22"/>
                              </w:rPr>
                            </w:pPr>
                            <w:r w:rsidRPr="001C050E">
                              <w:rPr>
                                <w:sz w:val="22"/>
                                <w:szCs w:val="22"/>
                              </w:rPr>
                              <w:t xml:space="preserve">In Direction C, the </w:t>
                            </w:r>
                            <w:r w:rsidRPr="001C050E">
                              <w:rPr>
                                <w:rFonts w:eastAsia="SimSun"/>
                                <w:sz w:val="22"/>
                                <w:szCs w:val="22"/>
                              </w:rPr>
                              <w:t>fully standardized reference model</w:t>
                            </w:r>
                            <w:r w:rsidRPr="001C050E">
                              <w:rPr>
                                <w:sz w:val="22"/>
                                <w:szCs w:val="22"/>
                              </w:rPr>
                              <w:t xml:space="preserve"> is associated with an ID</w:t>
                            </w:r>
                            <w:r w:rsidRPr="001C050E">
                              <w:rPr>
                                <w:rFonts w:eastAsia="DengXian"/>
                                <w:sz w:val="22"/>
                                <w:szCs w:val="22"/>
                              </w:rPr>
                              <w:t xml:space="preserve"> for pairing related discussion, then</w:t>
                            </w:r>
                          </w:p>
                          <w:p w14:paraId="69FDD989"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4A8F4AD7"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7636ED6C"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343F47D7"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w:t>
                            </w:r>
                            <w:r w:rsidRPr="001C050E">
                              <w:rPr>
                                <w:rFonts w:ascii="Times New Roman" w:eastAsia="DengXian" w:hAnsi="Times New Roman"/>
                                <w:sz w:val="22"/>
                                <w:szCs w:val="22"/>
                              </w:rPr>
                              <w:t xml:space="preserve"> can be</w:t>
                            </w:r>
                            <w:r w:rsidRPr="001C050E">
                              <w:rPr>
                                <w:rFonts w:ascii="Times New Roman" w:hAnsi="Times New Roman"/>
                                <w:sz w:val="22"/>
                                <w:szCs w:val="22"/>
                              </w:rPr>
                              <w:t xml:space="preserve"> used for NW-side data collection</w:t>
                            </w:r>
                          </w:p>
                          <w:p w14:paraId="7AB3C377"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5D5EAD8E"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 or how the ID is specified</w:t>
                            </w:r>
                          </w:p>
                          <w:p w14:paraId="14350E0F"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p w14:paraId="52691763" w14:textId="77777777" w:rsidR="004B05C4" w:rsidRDefault="004B05C4" w:rsidP="004B05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3322" id="_x0000_s1031" type="#_x0000_t202" style="position:absolute;margin-left:-1.1pt;margin-top:3pt;width:452pt;height:14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" fillcolor="white [3201]" strokeweight=".5pt">
                <v:textbox>
                  <w:txbxContent>
                    <w:p w14:paraId="273D53B5" w14:textId="3BB5CAD5" w:rsidR="004B05C4" w:rsidRPr="001C050E" w:rsidRDefault="004B05C4" w:rsidP="004B05C4">
                      <w:pPr>
                        <w:rPr>
                          <w:rFonts w:eastAsia="DengXian"/>
                          <w:iCs/>
                          <w:sz w:val="22"/>
                          <w:szCs w:val="22"/>
                          <w:highlight w:val="green"/>
                        </w:rPr>
                      </w:pPr>
                      <w:r w:rsidRPr="001C050E">
                        <w:rPr>
                          <w:rFonts w:eastAsia="DengXian"/>
                          <w:iCs/>
                          <w:sz w:val="22"/>
                          <w:szCs w:val="22"/>
                          <w:highlight w:val="green"/>
                        </w:rPr>
                        <w:t>Agreement</w:t>
                      </w:r>
                      <w:r w:rsidR="00060A07">
                        <w:rPr>
                          <w:rFonts w:eastAsia="DengXian"/>
                          <w:iCs/>
                          <w:sz w:val="22"/>
                          <w:szCs w:val="22"/>
                          <w:highlight w:val="green"/>
                        </w:rPr>
                        <w:t xml:space="preserve"> </w:t>
                      </w:r>
                      <w:r w:rsidR="00060A07" w:rsidRPr="00683AE7">
                        <w:rPr>
                          <w:rFonts w:eastAsia="DengXian"/>
                          <w:sz w:val="22"/>
                          <w:szCs w:val="22"/>
                        </w:rPr>
                        <w:t>(</w:t>
                      </w:r>
                      <w:r w:rsidR="00060A07">
                        <w:rPr>
                          <w:rFonts w:eastAsia="DengXian"/>
                          <w:sz w:val="22"/>
                          <w:szCs w:val="22"/>
                        </w:rPr>
                        <w:t>RAN1 #120bis</w:t>
                      </w:r>
                      <w:r w:rsidR="00060A07" w:rsidRPr="00683AE7">
                        <w:rPr>
                          <w:rFonts w:eastAsia="DengXian"/>
                          <w:sz w:val="22"/>
                          <w:szCs w:val="22"/>
                        </w:rPr>
                        <w:t>)</w:t>
                      </w:r>
                    </w:p>
                    <w:p w14:paraId="76C12037" w14:textId="77777777" w:rsidR="004B05C4" w:rsidRPr="001C050E" w:rsidRDefault="004B05C4" w:rsidP="004B05C4">
                      <w:pPr>
                        <w:rPr>
                          <w:rFonts w:eastAsia="DengXian"/>
                          <w:sz w:val="22"/>
                          <w:szCs w:val="22"/>
                        </w:rPr>
                      </w:pPr>
                      <w:r w:rsidRPr="001C050E">
                        <w:rPr>
                          <w:sz w:val="22"/>
                          <w:szCs w:val="22"/>
                        </w:rPr>
                        <w:t xml:space="preserve">In Direction C, the </w:t>
                      </w:r>
                      <w:r w:rsidRPr="001C050E">
                        <w:rPr>
                          <w:rFonts w:eastAsia="SimSun"/>
                          <w:sz w:val="22"/>
                          <w:szCs w:val="22"/>
                        </w:rPr>
                        <w:t>fully standardized reference model</w:t>
                      </w:r>
                      <w:r w:rsidRPr="001C050E">
                        <w:rPr>
                          <w:sz w:val="22"/>
                          <w:szCs w:val="22"/>
                        </w:rPr>
                        <w:t xml:space="preserve"> is associated with an ID</w:t>
                      </w:r>
                      <w:r w:rsidRPr="001C050E">
                        <w:rPr>
                          <w:rFonts w:eastAsia="DengXian"/>
                          <w:sz w:val="22"/>
                          <w:szCs w:val="22"/>
                        </w:rPr>
                        <w:t xml:space="preserve"> for pairing related discussion, then</w:t>
                      </w:r>
                    </w:p>
                    <w:p w14:paraId="69FDD989"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 xml:space="preserve">The same ID can be used for UE to collect UE-side target CSI for UE-side training </w:t>
                      </w:r>
                    </w:p>
                    <w:p w14:paraId="4A8F4AD7"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 can be used for applicability inquiry and reporting</w:t>
                      </w:r>
                    </w:p>
                    <w:p w14:paraId="7636ED6C"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The same ID can be used for inference configuration</w:t>
                      </w:r>
                    </w:p>
                    <w:p w14:paraId="343F47D7"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hAnsi="Times New Roman"/>
                          <w:sz w:val="22"/>
                          <w:szCs w:val="22"/>
                        </w:rPr>
                        <w:t>The same ID</w:t>
                      </w:r>
                      <w:r w:rsidRPr="001C050E">
                        <w:rPr>
                          <w:rFonts w:ascii="Times New Roman" w:eastAsia="DengXian" w:hAnsi="Times New Roman"/>
                          <w:sz w:val="22"/>
                          <w:szCs w:val="22"/>
                        </w:rPr>
                        <w:t xml:space="preserve"> can be</w:t>
                      </w:r>
                      <w:r w:rsidRPr="001C050E">
                        <w:rPr>
                          <w:rFonts w:ascii="Times New Roman" w:hAnsi="Times New Roman"/>
                          <w:sz w:val="22"/>
                          <w:szCs w:val="22"/>
                        </w:rPr>
                        <w:t xml:space="preserve"> used for NW-side data collection</w:t>
                      </w:r>
                    </w:p>
                    <w:p w14:paraId="7AB3C377"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whether ID/even same ID is needed for monitoring configuration</w:t>
                      </w:r>
                    </w:p>
                    <w:p w14:paraId="5D5EAD8E"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FFS: where the ID is assigned or how the ID is specified</w:t>
                      </w:r>
                    </w:p>
                    <w:p w14:paraId="14350E0F" w14:textId="77777777" w:rsidR="004B05C4" w:rsidRPr="001C050E" w:rsidRDefault="004B05C4" w:rsidP="004B05C4">
                      <w:pPr>
                        <w:pStyle w:val="ListParagraph"/>
                        <w:numPr>
                          <w:ilvl w:val="0"/>
                          <w:numId w:val="60"/>
                        </w:numPr>
                        <w:tabs>
                          <w:tab w:val="left" w:pos="0"/>
                        </w:tabs>
                        <w:suppressAutoHyphens/>
                        <w:spacing w:after="180"/>
                        <w:ind w:leftChars="0"/>
                        <w:contextualSpacing/>
                        <w:jc w:val="both"/>
                        <w:rPr>
                          <w:rFonts w:ascii="Times New Roman" w:hAnsi="Times New Roman"/>
                          <w:sz w:val="22"/>
                          <w:szCs w:val="22"/>
                        </w:rPr>
                      </w:pPr>
                      <w:r w:rsidRPr="001C050E">
                        <w:rPr>
                          <w:rFonts w:ascii="Times New Roman" w:eastAsia="SimSun" w:hAnsi="Times New Roman"/>
                          <w:sz w:val="22"/>
                          <w:szCs w:val="22"/>
                        </w:rPr>
                        <w:t>Note: whether the purpose for pair will be specified will be discussed separately.</w:t>
                      </w:r>
                    </w:p>
                    <w:p w14:paraId="52691763" w14:textId="77777777" w:rsidR="004B05C4" w:rsidRDefault="004B05C4" w:rsidP="004B05C4"/>
                  </w:txbxContent>
                </v:textbox>
              </v:shape>
            </w:pict>
          </mc:Fallback>
        </mc:AlternateContent>
      </w:r>
    </w:p>
    <w:p w14:paraId="30CC6502" w14:textId="77777777" w:rsidR="004B05C4" w:rsidRDefault="004B05C4" w:rsidP="004B05C4">
      <w:pPr>
        <w:pStyle w:val="NormalWeb"/>
        <w:rPr>
          <w:rFonts w:ascii="Times New Roman" w:hAnsi="Times New Roman" w:cs="Times New Roman"/>
          <w:sz w:val="22"/>
          <w:szCs w:val="22"/>
        </w:rPr>
      </w:pPr>
    </w:p>
    <w:p w14:paraId="2C4BD65E" w14:textId="77777777" w:rsidR="004B05C4" w:rsidRDefault="004B05C4" w:rsidP="004B05C4">
      <w:pPr>
        <w:pStyle w:val="NormalWeb"/>
        <w:rPr>
          <w:rFonts w:ascii="Times New Roman" w:hAnsi="Times New Roman" w:cs="Times New Roman"/>
          <w:sz w:val="22"/>
          <w:szCs w:val="22"/>
        </w:rPr>
      </w:pPr>
    </w:p>
    <w:p w14:paraId="746BA96A" w14:textId="77777777" w:rsidR="004B05C4" w:rsidRDefault="004B05C4" w:rsidP="004B05C4">
      <w:pPr>
        <w:pStyle w:val="NormalWeb"/>
        <w:rPr>
          <w:rFonts w:ascii="Times New Roman" w:hAnsi="Times New Roman" w:cs="Times New Roman"/>
          <w:sz w:val="22"/>
          <w:szCs w:val="22"/>
        </w:rPr>
      </w:pPr>
    </w:p>
    <w:p w14:paraId="614F3C78" w14:textId="77777777" w:rsidR="004B05C4" w:rsidRDefault="004B05C4" w:rsidP="004B05C4">
      <w:pPr>
        <w:pStyle w:val="NormalWeb"/>
        <w:rPr>
          <w:rFonts w:ascii="Times New Roman" w:hAnsi="Times New Roman" w:cs="Times New Roman"/>
          <w:sz w:val="22"/>
          <w:szCs w:val="22"/>
        </w:rPr>
      </w:pPr>
    </w:p>
    <w:p w14:paraId="37CFB643" w14:textId="170E5F40" w:rsidR="004B05C4" w:rsidRPr="001C050E" w:rsidRDefault="004B05C4" w:rsidP="004B05C4">
      <w:pPr>
        <w:pStyle w:val="NormalWeb"/>
        <w:rPr>
          <w:rFonts w:ascii="Times New Roman" w:hAnsi="Times New Roman" w:cs="Times New Roman"/>
          <w:sz w:val="22"/>
          <w:szCs w:val="22"/>
        </w:rPr>
      </w:pPr>
    </w:p>
    <w:p w14:paraId="7476C356" w14:textId="338405E1" w:rsidR="00C90046" w:rsidRDefault="00C90046" w:rsidP="008E4E04">
      <w:pPr>
        <w:rPr>
          <w:sz w:val="22"/>
          <w:szCs w:val="22"/>
        </w:rPr>
      </w:pPr>
      <w:r>
        <w:rPr>
          <w:noProof/>
          <w:sz w:val="22"/>
          <w:szCs w:val="22"/>
        </w:rPr>
        <mc:AlternateContent>
          <mc:Choice Requires="wps">
            <w:drawing>
              <wp:anchor distT="0" distB="0" distL="114300" distR="114300" simplePos="0" relativeHeight="251675648" behindDoc="0" locked="0" layoutInCell="1" allowOverlap="1" wp14:anchorId="17043797" wp14:editId="58740E4B">
                <wp:simplePos x="0" y="0"/>
                <wp:positionH relativeFrom="column">
                  <wp:posOffset>-14122</wp:posOffset>
                </wp:positionH>
                <wp:positionV relativeFrom="paragraph">
                  <wp:posOffset>37203</wp:posOffset>
                </wp:positionV>
                <wp:extent cx="5726430" cy="2217155"/>
                <wp:effectExtent l="0" t="0" r="13970" b="18415"/>
                <wp:wrapNone/>
                <wp:docPr id="1984802023" name="Text Box 9"/>
                <wp:cNvGraphicFramePr/>
                <a:graphic xmlns:a="http://schemas.openxmlformats.org/drawingml/2006/main">
                  <a:graphicData uri="http://schemas.microsoft.com/office/word/2010/wordprocessingShape">
                    <wps:wsp>
                      <wps:cNvSpPr txBox="1"/>
                      <wps:spPr>
                        <a:xfrm>
                          <a:off x="0" y="0"/>
                          <a:ext cx="5726430" cy="2217155"/>
                        </a:xfrm>
                        <a:prstGeom prst="rect">
                          <a:avLst/>
                        </a:prstGeom>
                        <a:solidFill>
                          <a:schemeClr val="lt1"/>
                        </a:solidFill>
                        <a:ln w="6350">
                          <a:solidFill>
                            <a:prstClr val="black"/>
                          </a:solidFill>
                        </a:ln>
                      </wps:spPr>
                      <wps:txbx>
                        <w:txbxContent>
                          <w:p w14:paraId="31D4CCEA" w14:textId="43EA3682" w:rsidR="00C90046" w:rsidRPr="00C90046" w:rsidRDefault="00C90046" w:rsidP="00C90046">
                            <w:pPr>
                              <w:pStyle w:val="3GPPNormalText"/>
                              <w:rPr>
                                <w:rFonts w:ascii="Times New Roman" w:hAnsi="Times New Roman" w:cs="Times New Roman"/>
                                <w:b/>
                                <w:bCs/>
                                <w:szCs w:val="22"/>
                              </w:rPr>
                            </w:pPr>
                            <w:r w:rsidRPr="007B5E88">
                              <w:rPr>
                                <w:rFonts w:ascii="Times New Roman" w:hAnsi="Times New Roman" w:cs="Times New Roman"/>
                                <w:szCs w:val="22"/>
                                <w:highlight w:val="green"/>
                              </w:rPr>
                              <w:t>Agreement:</w:t>
                            </w:r>
                            <w:r w:rsidRPr="00C90046">
                              <w:rPr>
                                <w:rFonts w:ascii="Times New Roman" w:hAnsi="Times New Roman" w:cs="Times New Roman"/>
                                <w:b/>
                                <w:bCs/>
                                <w:szCs w:val="22"/>
                              </w:rPr>
                              <w:t xml:space="preserve"> </w:t>
                            </w:r>
                            <w:r w:rsidR="00060A07" w:rsidRPr="007B5E88">
                              <w:rPr>
                                <w:rFonts w:ascii="Times New Roman" w:eastAsia="DengXian" w:hAnsi="Times New Roman" w:cs="Times New Roman"/>
                                <w:szCs w:val="22"/>
                              </w:rPr>
                              <w:t>(RAN1 #122)</w:t>
                            </w:r>
                          </w:p>
                          <w:p w14:paraId="4BC607E5" w14:textId="77777777" w:rsidR="00C90046" w:rsidRPr="00C90046" w:rsidRDefault="00C90046" w:rsidP="00C90046">
                            <w:pPr>
                              <w:rPr>
                                <w:bCs/>
                                <w:sz w:val="22"/>
                                <w:szCs w:val="22"/>
                              </w:rPr>
                            </w:pPr>
                            <w:r w:rsidRPr="00C90046">
                              <w:rPr>
                                <w:bCs/>
                                <w:sz w:val="22"/>
                                <w:szCs w:val="22"/>
                              </w:rPr>
                              <w:t>For model pairing procedure for inference, consider the applicability report procedure of Rel-19 AI/ML beam management for UE side model as a starting point.</w:t>
                            </w:r>
                          </w:p>
                          <w:p w14:paraId="0729C2B2" w14:textId="77777777" w:rsidR="00C90046" w:rsidRPr="00C90046" w:rsidRDefault="00C90046" w:rsidP="00C90046">
                            <w:pPr>
                              <w:pStyle w:val="ListParagraph"/>
                              <w:numPr>
                                <w:ilvl w:val="0"/>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 xml:space="preserve">Pairing ID(s) (i.e., ID for pairing related discussion) is indicated (e.g., in </w:t>
                            </w:r>
                            <w:r w:rsidRPr="00C90046">
                              <w:rPr>
                                <w:rFonts w:ascii="Times New Roman" w:hAnsi="Times New Roman"/>
                                <w:bCs/>
                                <w:i/>
                                <w:sz w:val="22"/>
                                <w:szCs w:val="22"/>
                              </w:rPr>
                              <w:t>CSI-</w:t>
                            </w:r>
                            <w:r w:rsidRPr="00C90046">
                              <w:rPr>
                                <w:rFonts w:ascii="Times New Roman" w:hAnsi="Times New Roman"/>
                                <w:bCs/>
                                <w:i/>
                                <w:sz w:val="22"/>
                                <w:szCs w:val="22"/>
                              </w:rPr>
                              <w:t>reportConfig</w:t>
                            </w:r>
                            <w:r w:rsidRPr="00C90046">
                              <w:rPr>
                                <w:rFonts w:ascii="Times New Roman" w:hAnsi="Times New Roman"/>
                                <w:bCs/>
                                <w:sz w:val="22"/>
                                <w:szCs w:val="22"/>
                              </w:rPr>
                              <w:t>) in Step 3.</w:t>
                            </w:r>
                          </w:p>
                          <w:p w14:paraId="681EECB8" w14:textId="77777777" w:rsidR="00C90046" w:rsidRPr="00C90046" w:rsidRDefault="00C90046" w:rsidP="00C90046">
                            <w:pPr>
                              <w:pStyle w:val="ListParagraph"/>
                              <w:numPr>
                                <w:ilvl w:val="1"/>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to link the Pairing ID with the inter-vendor collaboration</w:t>
                            </w:r>
                          </w:p>
                          <w:p w14:paraId="056C48AE" w14:textId="77777777" w:rsidR="00C90046" w:rsidRPr="00C90046" w:rsidRDefault="00C90046" w:rsidP="00C90046">
                            <w:pPr>
                              <w:pStyle w:val="ListParagraph"/>
                              <w:numPr>
                                <w:ilvl w:val="1"/>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Paring ID(s) are reported in Step 4</w:t>
                            </w:r>
                          </w:p>
                          <w:p w14:paraId="262CFC07" w14:textId="77777777" w:rsidR="00C90046" w:rsidRPr="00C90046" w:rsidRDefault="00C90046" w:rsidP="00C90046">
                            <w:pPr>
                              <w:pStyle w:val="ListParagraph"/>
                              <w:numPr>
                                <w:ilvl w:val="0"/>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 to support both Option A (</w:t>
                            </w:r>
                            <w:r w:rsidRPr="00C90046">
                              <w:rPr>
                                <w:rFonts w:ascii="Times New Roman" w:hAnsi="Times New Roman"/>
                                <w:bCs/>
                                <w:i/>
                                <w:sz w:val="22"/>
                                <w:szCs w:val="22"/>
                              </w:rPr>
                              <w:t>CSI-ReportConfig</w:t>
                            </w:r>
                            <w:r w:rsidRPr="00C90046">
                              <w:rPr>
                                <w:rFonts w:ascii="Times New Roman" w:hAnsi="Times New Roman"/>
                                <w:bCs/>
                                <w:sz w:val="22"/>
                                <w:szCs w:val="22"/>
                              </w:rPr>
                              <w:t xml:space="preserve"> for inference configuration) and Option B (sets of inference related parameters for applicability report only).</w:t>
                            </w:r>
                          </w:p>
                          <w:p w14:paraId="26CD5097" w14:textId="77777777" w:rsidR="00C90046" w:rsidRPr="00C90046" w:rsidRDefault="00C90046" w:rsidP="00C90046">
                            <w:pPr>
                              <w:pStyle w:val="ListParagraph"/>
                              <w:numPr>
                                <w:ilvl w:val="1"/>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CSI compression specific inference configuration or inference related parameters.</w:t>
                            </w:r>
                          </w:p>
                          <w:p w14:paraId="4D4EC61E" w14:textId="77777777" w:rsidR="00C90046" w:rsidRPr="00102E05" w:rsidRDefault="00C90046">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043797" id="Text Box 9" o:spid="_x0000_s1032" type="#_x0000_t202" style="position:absolute;margin-left:-1.1pt;margin-top:2.95pt;width:450.9pt;height:174.6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" fillcolor="white [3201]" strokeweight=".5pt">
                <v:textbox>
                  <w:txbxContent>
                    <w:p w14:paraId="31D4CCEA" w14:textId="43EA3682" w:rsidR="00C90046" w:rsidRPr="00C90046" w:rsidRDefault="00C90046" w:rsidP="00C90046">
                      <w:pPr>
                        <w:pStyle w:val="3GPPNormalText"/>
                        <w:rPr>
                          <w:rFonts w:ascii="Times New Roman" w:hAnsi="Times New Roman" w:cs="Times New Roman"/>
                          <w:b/>
                          <w:bCs/>
                          <w:szCs w:val="22"/>
                        </w:rPr>
                      </w:pPr>
                      <w:r w:rsidRPr="007B5E88">
                        <w:rPr>
                          <w:rFonts w:ascii="Times New Roman" w:hAnsi="Times New Roman" w:cs="Times New Roman"/>
                          <w:szCs w:val="22"/>
                          <w:highlight w:val="green"/>
                        </w:rPr>
                        <w:t>Agreement:</w:t>
                      </w:r>
                      <w:r w:rsidRPr="00C90046">
                        <w:rPr>
                          <w:rFonts w:ascii="Times New Roman" w:hAnsi="Times New Roman" w:cs="Times New Roman"/>
                          <w:b/>
                          <w:bCs/>
                          <w:szCs w:val="22"/>
                        </w:rPr>
                        <w:t xml:space="preserve"> </w:t>
                      </w:r>
                      <w:r w:rsidR="00060A07" w:rsidRPr="007B5E88">
                        <w:rPr>
                          <w:rFonts w:ascii="Times New Roman" w:eastAsia="DengXian" w:hAnsi="Times New Roman" w:cs="Times New Roman"/>
                          <w:szCs w:val="22"/>
                        </w:rPr>
                        <w:t>(RAN1 #122)</w:t>
                      </w:r>
                    </w:p>
                    <w:p w14:paraId="4BC607E5" w14:textId="77777777" w:rsidR="00C90046" w:rsidRPr="00C90046" w:rsidRDefault="00C90046" w:rsidP="00C90046">
                      <w:pPr>
                        <w:rPr>
                          <w:bCs/>
                          <w:sz w:val="22"/>
                          <w:szCs w:val="22"/>
                        </w:rPr>
                      </w:pPr>
                      <w:r w:rsidRPr="00C90046">
                        <w:rPr>
                          <w:bCs/>
                          <w:sz w:val="22"/>
                          <w:szCs w:val="22"/>
                        </w:rPr>
                        <w:t>For model pairing procedure for inference, consider the applicability report procedure of Rel-19 AI/ML beam management for UE side model as a starting point.</w:t>
                      </w:r>
                    </w:p>
                    <w:p w14:paraId="0729C2B2" w14:textId="77777777" w:rsidR="00C90046" w:rsidRPr="00C90046" w:rsidRDefault="00C90046" w:rsidP="00C90046">
                      <w:pPr>
                        <w:pStyle w:val="ListParagraph"/>
                        <w:numPr>
                          <w:ilvl w:val="0"/>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 xml:space="preserve">Pairing ID(s) (i.e., ID for pairing related discussion) is indicated (e.g., in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in Step 3.</w:t>
                      </w:r>
                    </w:p>
                    <w:p w14:paraId="681EECB8" w14:textId="77777777" w:rsidR="00C90046" w:rsidRPr="00C90046" w:rsidRDefault="00C90046" w:rsidP="00C90046">
                      <w:pPr>
                        <w:pStyle w:val="ListParagraph"/>
                        <w:numPr>
                          <w:ilvl w:val="1"/>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to link the Pairing ID with the inter-vendor collaboration</w:t>
                      </w:r>
                    </w:p>
                    <w:p w14:paraId="056C48AE" w14:textId="77777777" w:rsidR="00C90046" w:rsidRPr="00C90046" w:rsidRDefault="00C90046" w:rsidP="00C90046">
                      <w:pPr>
                        <w:pStyle w:val="ListParagraph"/>
                        <w:numPr>
                          <w:ilvl w:val="1"/>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whether/how Paring ID(s) are reported in Step 4</w:t>
                      </w:r>
                    </w:p>
                    <w:p w14:paraId="262CFC07" w14:textId="77777777" w:rsidR="00C90046" w:rsidRPr="00C90046" w:rsidRDefault="00C90046" w:rsidP="00C90046">
                      <w:pPr>
                        <w:pStyle w:val="ListParagraph"/>
                        <w:numPr>
                          <w:ilvl w:val="0"/>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whether to support both Option A (</w:t>
                      </w:r>
                      <w:r w:rsidRPr="00C90046">
                        <w:rPr>
                          <w:rFonts w:ascii="Times New Roman" w:hAnsi="Times New Roman"/>
                          <w:bCs/>
                          <w:i/>
                          <w:sz w:val="22"/>
                          <w:szCs w:val="22"/>
                        </w:rPr>
                        <w:t>CSI-</w:t>
                      </w:r>
                      <w:proofErr w:type="spellStart"/>
                      <w:r w:rsidRPr="00C90046">
                        <w:rPr>
                          <w:rFonts w:ascii="Times New Roman" w:hAnsi="Times New Roman"/>
                          <w:bCs/>
                          <w:i/>
                          <w:sz w:val="22"/>
                          <w:szCs w:val="22"/>
                        </w:rPr>
                        <w:t>ReportConfig</w:t>
                      </w:r>
                      <w:proofErr w:type="spellEnd"/>
                      <w:r w:rsidRPr="00C90046">
                        <w:rPr>
                          <w:rFonts w:ascii="Times New Roman" w:hAnsi="Times New Roman"/>
                          <w:bCs/>
                          <w:sz w:val="22"/>
                          <w:szCs w:val="22"/>
                        </w:rPr>
                        <w:t xml:space="preserve"> for inference configuration) and Option B (sets of inference related parameters for applicability report only).</w:t>
                      </w:r>
                    </w:p>
                    <w:p w14:paraId="26CD5097" w14:textId="77777777" w:rsidR="00C90046" w:rsidRPr="00C90046" w:rsidRDefault="00C90046" w:rsidP="00C90046">
                      <w:pPr>
                        <w:pStyle w:val="ListParagraph"/>
                        <w:numPr>
                          <w:ilvl w:val="1"/>
                          <w:numId w:val="68"/>
                        </w:numPr>
                        <w:suppressAutoHyphens/>
                        <w:snapToGrid w:val="0"/>
                        <w:spacing w:after="120"/>
                        <w:ind w:leftChars="0"/>
                        <w:jc w:val="both"/>
                        <w:rPr>
                          <w:rFonts w:ascii="Times New Roman" w:hAnsi="Times New Roman"/>
                          <w:bCs/>
                          <w:sz w:val="22"/>
                          <w:szCs w:val="22"/>
                        </w:rPr>
                      </w:pPr>
                      <w:r w:rsidRPr="00C90046">
                        <w:rPr>
                          <w:rFonts w:ascii="Times New Roman" w:hAnsi="Times New Roman"/>
                          <w:bCs/>
                          <w:sz w:val="22"/>
                          <w:szCs w:val="22"/>
                        </w:rPr>
                        <w:t>FFS CSI compression specific inference configuration or inference related parameters.</w:t>
                      </w:r>
                    </w:p>
                    <w:p w14:paraId="4D4EC61E" w14:textId="77777777" w:rsidR="00C90046" w:rsidRPr="00102E05" w:rsidRDefault="00C90046">
                      <w:pPr>
                        <w:rPr>
                          <w:lang w:val="en-GB"/>
                        </w:rPr>
                      </w:pPr>
                    </w:p>
                  </w:txbxContent>
                </v:textbox>
              </v:shape>
            </w:pict>
          </mc:Fallback>
        </mc:AlternateContent>
      </w:r>
    </w:p>
    <w:p w14:paraId="4A949219" w14:textId="77777777" w:rsidR="00C90046" w:rsidRDefault="00C90046" w:rsidP="008E4E04">
      <w:pPr>
        <w:rPr>
          <w:sz w:val="22"/>
          <w:szCs w:val="22"/>
        </w:rPr>
      </w:pPr>
    </w:p>
    <w:p w14:paraId="1146BFC8" w14:textId="77777777" w:rsidR="00C90046" w:rsidRDefault="00C90046" w:rsidP="008E4E04">
      <w:pPr>
        <w:rPr>
          <w:sz w:val="22"/>
          <w:szCs w:val="22"/>
        </w:rPr>
      </w:pPr>
    </w:p>
    <w:p w14:paraId="6358990B" w14:textId="77777777" w:rsidR="00C90046" w:rsidRDefault="00C90046" w:rsidP="008E4E04">
      <w:pPr>
        <w:rPr>
          <w:sz w:val="22"/>
          <w:szCs w:val="22"/>
        </w:rPr>
      </w:pPr>
    </w:p>
    <w:p w14:paraId="288AD380" w14:textId="77777777" w:rsidR="00C90046" w:rsidRDefault="00C90046" w:rsidP="008E4E04">
      <w:pPr>
        <w:rPr>
          <w:sz w:val="22"/>
          <w:szCs w:val="22"/>
        </w:rPr>
      </w:pPr>
    </w:p>
    <w:p w14:paraId="5FAE83A3" w14:textId="77777777" w:rsidR="00C90046" w:rsidRDefault="00C90046" w:rsidP="008E4E04">
      <w:pPr>
        <w:rPr>
          <w:sz w:val="22"/>
          <w:szCs w:val="22"/>
        </w:rPr>
      </w:pPr>
    </w:p>
    <w:p w14:paraId="374F292F" w14:textId="77777777" w:rsidR="00C90046" w:rsidRDefault="00C90046" w:rsidP="008E4E04">
      <w:pPr>
        <w:rPr>
          <w:sz w:val="22"/>
          <w:szCs w:val="22"/>
        </w:rPr>
      </w:pPr>
    </w:p>
    <w:p w14:paraId="52F897C6" w14:textId="77777777" w:rsidR="004B05C4" w:rsidRDefault="004B05C4" w:rsidP="00A17182">
      <w:pPr>
        <w:rPr>
          <w:color w:val="000000" w:themeColor="text1"/>
          <w:sz w:val="22"/>
          <w:szCs w:val="22"/>
        </w:rPr>
      </w:pPr>
    </w:p>
    <w:p w14:paraId="01728FC4" w14:textId="77777777" w:rsidR="00C90046" w:rsidRDefault="00C90046" w:rsidP="00A17182">
      <w:pPr>
        <w:rPr>
          <w:color w:val="000000" w:themeColor="text1"/>
          <w:sz w:val="22"/>
          <w:szCs w:val="22"/>
        </w:rPr>
      </w:pPr>
    </w:p>
    <w:p w14:paraId="211944F2" w14:textId="77777777" w:rsidR="00C90046" w:rsidRDefault="00C90046" w:rsidP="00A17182">
      <w:pPr>
        <w:rPr>
          <w:color w:val="000000" w:themeColor="text1"/>
          <w:sz w:val="22"/>
          <w:szCs w:val="22"/>
        </w:rPr>
      </w:pPr>
    </w:p>
    <w:p w14:paraId="6C0BB915" w14:textId="77777777" w:rsidR="00C90046" w:rsidRDefault="00C90046" w:rsidP="00A17182">
      <w:pPr>
        <w:rPr>
          <w:color w:val="000000" w:themeColor="text1"/>
          <w:sz w:val="22"/>
          <w:szCs w:val="22"/>
        </w:rPr>
      </w:pPr>
    </w:p>
    <w:p w14:paraId="57D8DFFE" w14:textId="77777777" w:rsidR="00C90046" w:rsidRDefault="00C90046" w:rsidP="00A17182">
      <w:pPr>
        <w:rPr>
          <w:color w:val="000000" w:themeColor="text1"/>
          <w:sz w:val="22"/>
          <w:szCs w:val="22"/>
        </w:rPr>
      </w:pPr>
    </w:p>
    <w:p w14:paraId="77F5EB74" w14:textId="77777777" w:rsidR="00C90046" w:rsidRDefault="00C90046" w:rsidP="00A17182">
      <w:pPr>
        <w:rPr>
          <w:color w:val="000000" w:themeColor="text1"/>
          <w:sz w:val="22"/>
          <w:szCs w:val="22"/>
        </w:rPr>
      </w:pPr>
    </w:p>
    <w:p w14:paraId="0AAEA572" w14:textId="77777777" w:rsidR="00C90046" w:rsidRDefault="00C90046" w:rsidP="00A17182">
      <w:pPr>
        <w:rPr>
          <w:color w:val="000000" w:themeColor="text1"/>
          <w:sz w:val="22"/>
          <w:szCs w:val="22"/>
        </w:rPr>
      </w:pPr>
    </w:p>
    <w:p w14:paraId="73543813" w14:textId="77777777" w:rsidR="00566C8F" w:rsidRDefault="00566C8F" w:rsidP="00A17182">
      <w:pPr>
        <w:rPr>
          <w:color w:val="000000" w:themeColor="text1"/>
          <w:sz w:val="22"/>
          <w:szCs w:val="22"/>
        </w:rPr>
      </w:pPr>
    </w:p>
    <w:p w14:paraId="2E710DBA" w14:textId="1FCFE897" w:rsidR="00207D3A" w:rsidRDefault="00207D3A" w:rsidP="00A17182">
      <w:pPr>
        <w:rPr>
          <w:color w:val="000000" w:themeColor="text1"/>
          <w:sz w:val="22"/>
          <w:szCs w:val="22"/>
        </w:rPr>
      </w:pPr>
      <w:r w:rsidRPr="00207D3A">
        <w:rPr>
          <w:color w:val="000000" w:themeColor="text1"/>
          <w:sz w:val="22"/>
          <w:szCs w:val="22"/>
        </w:rPr>
        <w:lastRenderedPageBreak/>
        <w:t>As discussed in Section 3, when the MDT framework is used for network-side data collection for performance monitoring and root cause detection, the same pairing ID should be included alongside the CSI feedback and target CSI pair during logged L3 data transfer. For UE-side data collection, the pairing ID</w:t>
      </w:r>
      <w:r w:rsidR="00D1059A">
        <w:rPr>
          <w:color w:val="000000" w:themeColor="text1"/>
          <w:sz w:val="22"/>
          <w:szCs w:val="22"/>
        </w:rPr>
        <w:t>(s)</w:t>
      </w:r>
      <w:r w:rsidRPr="00207D3A">
        <w:rPr>
          <w:color w:val="000000" w:themeColor="text1"/>
          <w:sz w:val="22"/>
          <w:szCs w:val="22"/>
        </w:rPr>
        <w:t xml:space="preserve"> can be configured together with the </w:t>
      </w:r>
      <w:proofErr w:type="spellStart"/>
      <w:r w:rsidRPr="00207D3A">
        <w:rPr>
          <w:i/>
          <w:iCs/>
          <w:color w:val="000000" w:themeColor="text1"/>
          <w:sz w:val="22"/>
          <w:szCs w:val="22"/>
        </w:rPr>
        <w:t>resource</w:t>
      </w:r>
      <w:r w:rsidR="00E12406">
        <w:rPr>
          <w:i/>
          <w:iCs/>
          <w:color w:val="000000" w:themeColor="text1"/>
          <w:sz w:val="22"/>
          <w:szCs w:val="22"/>
        </w:rPr>
        <w:t>s</w:t>
      </w:r>
      <w:r w:rsidRPr="00207D3A">
        <w:rPr>
          <w:i/>
          <w:iCs/>
          <w:color w:val="000000" w:themeColor="text1"/>
          <w:sz w:val="22"/>
          <w:szCs w:val="22"/>
        </w:rPr>
        <w:t>ForChannelMeasurement</w:t>
      </w:r>
      <w:proofErr w:type="spellEnd"/>
      <w:r w:rsidR="00362E29">
        <w:rPr>
          <w:color w:val="000000" w:themeColor="text1"/>
          <w:sz w:val="22"/>
          <w:szCs w:val="22"/>
        </w:rPr>
        <w:t xml:space="preserve"> (e.g., part of </w:t>
      </w:r>
      <w:r w:rsidR="00362E29" w:rsidRPr="00102E05">
        <w:rPr>
          <w:i/>
          <w:iCs/>
          <w:color w:val="000000" w:themeColor="text1"/>
          <w:sz w:val="22"/>
          <w:szCs w:val="22"/>
        </w:rPr>
        <w:t>CSI</w:t>
      </w:r>
      <w:r w:rsidR="00362E29">
        <w:rPr>
          <w:i/>
          <w:iCs/>
          <w:color w:val="000000" w:themeColor="text1"/>
          <w:sz w:val="22"/>
          <w:szCs w:val="22"/>
        </w:rPr>
        <w:t>-</w:t>
      </w:r>
      <w:proofErr w:type="spellStart"/>
      <w:r w:rsidR="00362E29">
        <w:rPr>
          <w:i/>
          <w:iCs/>
          <w:color w:val="000000" w:themeColor="text1"/>
          <w:sz w:val="22"/>
          <w:szCs w:val="22"/>
        </w:rPr>
        <w:t>ResourceConfig</w:t>
      </w:r>
      <w:proofErr w:type="spellEnd"/>
      <w:r w:rsidR="00362E29">
        <w:rPr>
          <w:color w:val="000000" w:themeColor="text1"/>
          <w:sz w:val="22"/>
          <w:szCs w:val="22"/>
        </w:rPr>
        <w:t>)</w:t>
      </w:r>
      <w:r w:rsidRPr="00207D3A">
        <w:rPr>
          <w:color w:val="000000" w:themeColor="text1"/>
          <w:sz w:val="22"/>
          <w:szCs w:val="22"/>
        </w:rPr>
        <w:t>.</w:t>
      </w:r>
    </w:p>
    <w:p w14:paraId="0A68A6BC" w14:textId="77777777" w:rsidR="00F171D9" w:rsidRDefault="00F171D9" w:rsidP="00A17182">
      <w:pPr>
        <w:rPr>
          <w:color w:val="000000" w:themeColor="text1"/>
          <w:sz w:val="22"/>
          <w:szCs w:val="22"/>
        </w:rPr>
      </w:pPr>
    </w:p>
    <w:p w14:paraId="7B4F3ADB" w14:textId="3CF2A1C1" w:rsidR="00F171D9" w:rsidRDefault="00F171D9" w:rsidP="00A17182">
      <w:pPr>
        <w:rPr>
          <w:color w:val="000000" w:themeColor="text1"/>
          <w:sz w:val="22"/>
          <w:szCs w:val="22"/>
        </w:rPr>
      </w:pPr>
      <w:r>
        <w:rPr>
          <w:color w:val="000000" w:themeColor="text1"/>
          <w:sz w:val="22"/>
          <w:szCs w:val="22"/>
        </w:rPr>
        <w:t>Configuration of Pairing</w:t>
      </w:r>
      <w:r w:rsidR="00AB6815">
        <w:rPr>
          <w:color w:val="000000" w:themeColor="text1"/>
          <w:sz w:val="22"/>
          <w:szCs w:val="22"/>
        </w:rPr>
        <w:t xml:space="preserve"> </w:t>
      </w:r>
      <w:r>
        <w:rPr>
          <w:color w:val="000000" w:themeColor="text1"/>
          <w:sz w:val="22"/>
          <w:szCs w:val="22"/>
        </w:rPr>
        <w:t>ID(s) should allow fine-tuning of a</w:t>
      </w:r>
      <w:r w:rsidR="00946241">
        <w:rPr>
          <w:color w:val="000000" w:themeColor="text1"/>
          <w:sz w:val="22"/>
          <w:szCs w:val="22"/>
        </w:rPr>
        <w:t>n</w:t>
      </w:r>
      <w:r>
        <w:rPr>
          <w:color w:val="000000" w:themeColor="text1"/>
          <w:sz w:val="22"/>
          <w:szCs w:val="22"/>
        </w:rPr>
        <w:t xml:space="preserve"> already deployed model</w:t>
      </w:r>
      <w:r w:rsidR="00A9636D">
        <w:rPr>
          <w:color w:val="000000" w:themeColor="text1"/>
          <w:sz w:val="22"/>
          <w:szCs w:val="22"/>
        </w:rPr>
        <w:t xml:space="preserve"> without demanding frequent retaining of the deployed model</w:t>
      </w:r>
      <w:r>
        <w:rPr>
          <w:color w:val="000000" w:themeColor="text1"/>
          <w:sz w:val="22"/>
          <w:szCs w:val="22"/>
        </w:rPr>
        <w:t xml:space="preserve">. </w:t>
      </w:r>
      <w:r w:rsidR="00AB6815">
        <w:rPr>
          <w:color w:val="000000" w:themeColor="text1"/>
          <w:sz w:val="22"/>
          <w:szCs w:val="22"/>
        </w:rPr>
        <w:t xml:space="preserve">For example, if single Pairing ID is indicated in </w:t>
      </w:r>
      <w:r w:rsidR="00AB6815">
        <w:rPr>
          <w:i/>
          <w:iCs/>
          <w:color w:val="000000" w:themeColor="text1"/>
          <w:sz w:val="22"/>
          <w:szCs w:val="22"/>
        </w:rPr>
        <w:t>CSI-</w:t>
      </w:r>
      <w:proofErr w:type="spellStart"/>
      <w:r w:rsidR="00AB6815">
        <w:rPr>
          <w:i/>
          <w:iCs/>
          <w:color w:val="000000" w:themeColor="text1"/>
          <w:sz w:val="22"/>
          <w:szCs w:val="22"/>
        </w:rPr>
        <w:t>ReportConfig</w:t>
      </w:r>
      <w:proofErr w:type="spellEnd"/>
      <w:r w:rsidR="0082487B">
        <w:rPr>
          <w:color w:val="000000" w:themeColor="text1"/>
          <w:sz w:val="22"/>
          <w:szCs w:val="22"/>
        </w:rPr>
        <w:t xml:space="preserve"> for inference</w:t>
      </w:r>
      <w:r w:rsidR="00AB6815">
        <w:rPr>
          <w:color w:val="000000" w:themeColor="text1"/>
          <w:sz w:val="22"/>
          <w:szCs w:val="22"/>
        </w:rPr>
        <w:t xml:space="preserve">, </w:t>
      </w:r>
      <w:r w:rsidR="0082487B">
        <w:rPr>
          <w:color w:val="000000" w:themeColor="text1"/>
          <w:sz w:val="22"/>
          <w:szCs w:val="22"/>
        </w:rPr>
        <w:t xml:space="preserve">the NW should re-use the same Pairing ID </w:t>
      </w:r>
      <w:r w:rsidR="000525B5">
        <w:rPr>
          <w:color w:val="000000" w:themeColor="text1"/>
          <w:sz w:val="22"/>
          <w:szCs w:val="22"/>
        </w:rPr>
        <w:t>if</w:t>
      </w:r>
      <w:r w:rsidR="0082487B">
        <w:rPr>
          <w:color w:val="000000" w:themeColor="text1"/>
          <w:sz w:val="22"/>
          <w:szCs w:val="22"/>
        </w:rPr>
        <w:t xml:space="preserve"> the fine-tuned decoder is backward compatible (or inter-workable) with the already deployed </w:t>
      </w:r>
      <w:r w:rsidR="005E35A9">
        <w:rPr>
          <w:color w:val="000000" w:themeColor="text1"/>
          <w:sz w:val="22"/>
          <w:szCs w:val="22"/>
        </w:rPr>
        <w:t>en</w:t>
      </w:r>
      <w:r w:rsidR="0082487B">
        <w:rPr>
          <w:color w:val="000000" w:themeColor="text1"/>
          <w:sz w:val="22"/>
          <w:szCs w:val="22"/>
        </w:rPr>
        <w:t>coder at the UE</w:t>
      </w:r>
      <w:r w:rsidR="00EB268D">
        <w:rPr>
          <w:color w:val="000000" w:themeColor="text1"/>
          <w:sz w:val="22"/>
          <w:szCs w:val="22"/>
        </w:rPr>
        <w:t xml:space="preserve"> </w:t>
      </w:r>
      <w:r w:rsidR="002C39B2">
        <w:rPr>
          <w:color w:val="000000" w:themeColor="text1"/>
          <w:sz w:val="22"/>
          <w:szCs w:val="22"/>
        </w:rPr>
        <w:t>(</w:t>
      </w:r>
      <w:r w:rsidR="00EB268D">
        <w:rPr>
          <w:color w:val="000000" w:themeColor="text1"/>
          <w:sz w:val="22"/>
          <w:szCs w:val="22"/>
        </w:rPr>
        <w:t>trained for the same Pairing ID</w:t>
      </w:r>
      <w:r w:rsidR="002C39B2">
        <w:rPr>
          <w:color w:val="000000" w:themeColor="text1"/>
          <w:sz w:val="22"/>
          <w:szCs w:val="22"/>
        </w:rPr>
        <w:t>)</w:t>
      </w:r>
      <w:r w:rsidR="0082487B">
        <w:rPr>
          <w:color w:val="000000" w:themeColor="text1"/>
          <w:sz w:val="22"/>
          <w:szCs w:val="22"/>
        </w:rPr>
        <w:t xml:space="preserve">. </w:t>
      </w:r>
      <w:r w:rsidR="008519AB">
        <w:rPr>
          <w:color w:val="000000" w:themeColor="text1"/>
          <w:sz w:val="22"/>
          <w:szCs w:val="22"/>
        </w:rPr>
        <w:t xml:space="preserve">This </w:t>
      </w:r>
      <w:r w:rsidR="00306268">
        <w:rPr>
          <w:color w:val="000000" w:themeColor="text1"/>
          <w:sz w:val="22"/>
          <w:szCs w:val="22"/>
        </w:rPr>
        <w:t>allows</w:t>
      </w:r>
      <w:r w:rsidR="008519AB">
        <w:rPr>
          <w:color w:val="000000" w:themeColor="text1"/>
          <w:sz w:val="22"/>
          <w:szCs w:val="22"/>
        </w:rPr>
        <w:t xml:space="preserve"> smooth upgrade in the field without demanding retraining the decoder </w:t>
      </w:r>
      <w:r w:rsidR="004877B9">
        <w:rPr>
          <w:color w:val="000000" w:themeColor="text1"/>
          <w:sz w:val="22"/>
          <w:szCs w:val="22"/>
        </w:rPr>
        <w:t>all the time</w:t>
      </w:r>
      <w:r w:rsidR="008519AB">
        <w:rPr>
          <w:color w:val="000000" w:themeColor="text1"/>
          <w:sz w:val="22"/>
          <w:szCs w:val="22"/>
        </w:rPr>
        <w:t xml:space="preserve"> following a fine-tuning of the decoder.</w:t>
      </w:r>
    </w:p>
    <w:p w14:paraId="78F9C246" w14:textId="77777777" w:rsidR="002E02BA" w:rsidRDefault="002E02BA" w:rsidP="00A17182">
      <w:pPr>
        <w:rPr>
          <w:color w:val="000000" w:themeColor="text1"/>
          <w:sz w:val="22"/>
          <w:szCs w:val="22"/>
        </w:rPr>
      </w:pPr>
    </w:p>
    <w:p w14:paraId="6643AC41" w14:textId="5D7AEE4C" w:rsidR="002E02BA" w:rsidRPr="00A1540C" w:rsidRDefault="002E02BA" w:rsidP="00A17182">
      <w:pPr>
        <w:rPr>
          <w:color w:val="000000" w:themeColor="text1"/>
          <w:sz w:val="22"/>
          <w:szCs w:val="22"/>
          <w:u w:val="single"/>
        </w:rPr>
      </w:pPr>
      <w:r>
        <w:rPr>
          <w:color w:val="000000" w:themeColor="text1"/>
          <w:sz w:val="22"/>
          <w:szCs w:val="22"/>
        </w:rPr>
        <w:t xml:space="preserve">To achieve the same purpose, an alternative </w:t>
      </w:r>
      <w:r w:rsidR="0010770A">
        <w:rPr>
          <w:color w:val="000000" w:themeColor="text1"/>
          <w:sz w:val="22"/>
          <w:szCs w:val="22"/>
        </w:rPr>
        <w:t xml:space="preserve">approach </w:t>
      </w:r>
      <w:r>
        <w:rPr>
          <w:color w:val="000000" w:themeColor="text1"/>
          <w:sz w:val="22"/>
          <w:szCs w:val="22"/>
        </w:rPr>
        <w:t xml:space="preserve">is for the NW to signal a list of Pairing IDs in </w:t>
      </w:r>
      <w:r w:rsidRPr="00182D22">
        <w:rPr>
          <w:i/>
          <w:iCs/>
          <w:color w:val="000000" w:themeColor="text1"/>
          <w:sz w:val="22"/>
          <w:szCs w:val="22"/>
        </w:rPr>
        <w:t>CSI-</w:t>
      </w:r>
      <w:proofErr w:type="spellStart"/>
      <w:r w:rsidRPr="00182D22">
        <w:rPr>
          <w:i/>
          <w:iCs/>
          <w:color w:val="000000" w:themeColor="text1"/>
          <w:sz w:val="22"/>
          <w:szCs w:val="22"/>
        </w:rPr>
        <w:t>ReportConfig</w:t>
      </w:r>
      <w:proofErr w:type="spellEnd"/>
      <w:r w:rsidRPr="00182D22">
        <w:rPr>
          <w:color w:val="000000" w:themeColor="text1"/>
          <w:sz w:val="22"/>
          <w:szCs w:val="22"/>
        </w:rPr>
        <w:t xml:space="preserve">. </w:t>
      </w:r>
      <w:r w:rsidR="0010770A" w:rsidRPr="00182D22">
        <w:rPr>
          <w:color w:val="000000" w:themeColor="text1"/>
          <w:sz w:val="22"/>
          <w:szCs w:val="22"/>
        </w:rPr>
        <w:t>Every time the NW fine-tuned a decoder that is backward compatible with a deployed encoder, the NW added a new Pairing ID into the list (without removing backward compatible Pairing IDs).</w:t>
      </w:r>
      <w:r w:rsidR="007C67BF" w:rsidRPr="00182D22">
        <w:rPr>
          <w:color w:val="000000" w:themeColor="text1"/>
          <w:sz w:val="22"/>
          <w:szCs w:val="22"/>
        </w:rPr>
        <w:t xml:space="preserve"> </w:t>
      </w:r>
      <w:r w:rsidR="00F06BDE" w:rsidRPr="00182D22">
        <w:rPr>
          <w:color w:val="000000" w:themeColor="text1"/>
          <w:sz w:val="22"/>
          <w:szCs w:val="22"/>
        </w:rPr>
        <w:t>If</w:t>
      </w:r>
      <w:r w:rsidR="007C67BF" w:rsidRPr="00182D22">
        <w:rPr>
          <w:color w:val="000000" w:themeColor="text1"/>
          <w:sz w:val="22"/>
          <w:szCs w:val="22"/>
        </w:rPr>
        <w:t xml:space="preserve"> a UE </w:t>
      </w:r>
      <w:r w:rsidR="00F06BDE" w:rsidRPr="00182D22">
        <w:rPr>
          <w:color w:val="000000" w:themeColor="text1"/>
          <w:sz w:val="22"/>
          <w:szCs w:val="22"/>
        </w:rPr>
        <w:t>can</w:t>
      </w:r>
      <w:r w:rsidR="007C67BF" w:rsidRPr="00182D22">
        <w:rPr>
          <w:color w:val="000000" w:themeColor="text1"/>
          <w:sz w:val="22"/>
          <w:szCs w:val="22"/>
        </w:rPr>
        <w:t xml:space="preserve"> find its own Pairing ID (corresponding to its encoder) in the list, the UE determines that its encoder is applicable.</w:t>
      </w:r>
      <w:r w:rsidR="00F06BDE" w:rsidRPr="00182D22">
        <w:rPr>
          <w:color w:val="000000" w:themeColor="text1"/>
          <w:sz w:val="22"/>
          <w:szCs w:val="22"/>
        </w:rPr>
        <w:t xml:space="preserve"> Compared to single Pairing ID based approach, multi-Pairing IDs based approach exposes a bit more information on fine-tuning of the decoder to UEs, UE can determine whether it should continue using the existing encoder or fine-tune/retrain the encoder.</w:t>
      </w:r>
    </w:p>
    <w:p w14:paraId="70ECC40E" w14:textId="77777777" w:rsidR="00E12406" w:rsidRDefault="00E12406" w:rsidP="00A17182">
      <w:pPr>
        <w:rPr>
          <w:b/>
          <w:bCs/>
          <w:sz w:val="22"/>
          <w:szCs w:val="22"/>
        </w:rPr>
      </w:pPr>
    </w:p>
    <w:p w14:paraId="2271FAC8" w14:textId="337ED952" w:rsidR="008E4E04" w:rsidRDefault="00841EE8" w:rsidP="00A17182">
      <w:pPr>
        <w:rPr>
          <w:b/>
          <w:bCs/>
          <w:sz w:val="22"/>
          <w:szCs w:val="22"/>
        </w:rPr>
      </w:pPr>
      <w:r>
        <w:rPr>
          <w:b/>
          <w:bCs/>
          <w:sz w:val="22"/>
          <w:szCs w:val="22"/>
        </w:rPr>
        <w:t xml:space="preserve">Proposal </w:t>
      </w:r>
      <w:r w:rsidR="00720818">
        <w:rPr>
          <w:b/>
          <w:bCs/>
          <w:sz w:val="22"/>
          <w:szCs w:val="22"/>
        </w:rPr>
        <w:t>8</w:t>
      </w:r>
      <w:r>
        <w:rPr>
          <w:b/>
          <w:bCs/>
          <w:sz w:val="22"/>
          <w:szCs w:val="22"/>
        </w:rPr>
        <w:t>: The paring ID is used for</w:t>
      </w:r>
      <w:r w:rsidR="00344460">
        <w:rPr>
          <w:b/>
          <w:bCs/>
          <w:sz w:val="22"/>
          <w:szCs w:val="22"/>
        </w:rPr>
        <w:t xml:space="preserve"> NW side</w:t>
      </w:r>
      <w:r>
        <w:rPr>
          <w:b/>
          <w:bCs/>
          <w:sz w:val="22"/>
          <w:szCs w:val="22"/>
        </w:rPr>
        <w:t xml:space="preserve"> data collection for performance monitoring configuration and report. </w:t>
      </w:r>
    </w:p>
    <w:p w14:paraId="2BB08C7B" w14:textId="77777777" w:rsidR="00C75A97" w:rsidRDefault="00C75A97" w:rsidP="00A17182">
      <w:pPr>
        <w:rPr>
          <w:b/>
          <w:bCs/>
          <w:sz w:val="22"/>
          <w:szCs w:val="22"/>
        </w:rPr>
      </w:pPr>
    </w:p>
    <w:p w14:paraId="5023E929" w14:textId="29FE2D65" w:rsidR="00306268" w:rsidRDefault="00344460" w:rsidP="00344460">
      <w:pPr>
        <w:rPr>
          <w:b/>
          <w:bCs/>
          <w:sz w:val="22"/>
          <w:szCs w:val="22"/>
        </w:rPr>
      </w:pPr>
      <w:r>
        <w:rPr>
          <w:b/>
          <w:bCs/>
          <w:sz w:val="22"/>
          <w:szCs w:val="22"/>
        </w:rPr>
        <w:t xml:space="preserve">Proposal </w:t>
      </w:r>
      <w:r w:rsidR="00720818">
        <w:rPr>
          <w:b/>
          <w:bCs/>
          <w:sz w:val="22"/>
          <w:szCs w:val="22"/>
        </w:rPr>
        <w:t>9</w:t>
      </w:r>
      <w:r>
        <w:rPr>
          <w:b/>
          <w:bCs/>
          <w:sz w:val="22"/>
          <w:szCs w:val="22"/>
        </w:rPr>
        <w:t>: When the paring ID is used for UE side data collection for training, the p</w:t>
      </w:r>
      <w:r w:rsidRPr="00344460">
        <w:rPr>
          <w:b/>
          <w:bCs/>
          <w:sz w:val="22"/>
          <w:szCs w:val="22"/>
        </w:rPr>
        <w:t xml:space="preserve">airing ID is configured together with </w:t>
      </w:r>
      <w:proofErr w:type="spellStart"/>
      <w:r w:rsidRPr="00207D3A">
        <w:rPr>
          <w:b/>
          <w:bCs/>
          <w:i/>
          <w:iCs/>
          <w:sz w:val="22"/>
          <w:szCs w:val="22"/>
        </w:rPr>
        <w:t>resource</w:t>
      </w:r>
      <w:r w:rsidR="00CC084F">
        <w:rPr>
          <w:b/>
          <w:bCs/>
          <w:i/>
          <w:iCs/>
          <w:sz w:val="22"/>
          <w:szCs w:val="22"/>
        </w:rPr>
        <w:t>s</w:t>
      </w:r>
      <w:r w:rsidRPr="00207D3A">
        <w:rPr>
          <w:b/>
          <w:bCs/>
          <w:i/>
          <w:iCs/>
          <w:sz w:val="22"/>
          <w:szCs w:val="22"/>
        </w:rPr>
        <w:t>ForChannelMeasurement</w:t>
      </w:r>
      <w:proofErr w:type="spellEnd"/>
      <w:r w:rsidR="00362E29">
        <w:rPr>
          <w:b/>
          <w:bCs/>
          <w:i/>
          <w:iCs/>
          <w:sz w:val="22"/>
          <w:szCs w:val="22"/>
        </w:rPr>
        <w:t xml:space="preserve"> </w:t>
      </w:r>
      <w:r w:rsidR="00362E29" w:rsidRPr="00A1540C">
        <w:rPr>
          <w:b/>
          <w:bCs/>
          <w:color w:val="000000" w:themeColor="text1"/>
          <w:sz w:val="22"/>
          <w:szCs w:val="22"/>
        </w:rPr>
        <w:t xml:space="preserve">(e.g., part of </w:t>
      </w:r>
      <w:r w:rsidR="00362E29" w:rsidRPr="00A1540C">
        <w:rPr>
          <w:b/>
          <w:bCs/>
          <w:i/>
          <w:iCs/>
          <w:color w:val="000000" w:themeColor="text1"/>
          <w:sz w:val="22"/>
          <w:szCs w:val="22"/>
        </w:rPr>
        <w:t>CSI-</w:t>
      </w:r>
      <w:proofErr w:type="spellStart"/>
      <w:r w:rsidR="00362E29" w:rsidRPr="00A1540C">
        <w:rPr>
          <w:b/>
          <w:bCs/>
          <w:i/>
          <w:iCs/>
          <w:color w:val="000000" w:themeColor="text1"/>
          <w:sz w:val="22"/>
          <w:szCs w:val="22"/>
        </w:rPr>
        <w:t>ResourceConfig</w:t>
      </w:r>
      <w:proofErr w:type="spellEnd"/>
      <w:r w:rsidR="00362E29" w:rsidRPr="00A1540C">
        <w:rPr>
          <w:b/>
          <w:bCs/>
          <w:color w:val="000000" w:themeColor="text1"/>
          <w:sz w:val="22"/>
          <w:szCs w:val="22"/>
        </w:rPr>
        <w:t>)</w:t>
      </w:r>
      <w:r w:rsidRPr="00344460">
        <w:rPr>
          <w:b/>
          <w:bCs/>
          <w:sz w:val="22"/>
          <w:szCs w:val="22"/>
        </w:rPr>
        <w:t>.</w:t>
      </w:r>
    </w:p>
    <w:p w14:paraId="49B59185" w14:textId="77777777" w:rsidR="00306268" w:rsidRDefault="00306268" w:rsidP="00344460">
      <w:pPr>
        <w:rPr>
          <w:b/>
          <w:bCs/>
          <w:sz w:val="22"/>
          <w:szCs w:val="22"/>
        </w:rPr>
      </w:pPr>
    </w:p>
    <w:p w14:paraId="6D3D4AE1" w14:textId="65E608EA" w:rsidR="00F817F5" w:rsidRPr="00182D22" w:rsidRDefault="00306268" w:rsidP="00F817F5">
      <w:pPr>
        <w:rPr>
          <w:b/>
          <w:bCs/>
          <w:color w:val="000000"/>
          <w:sz w:val="22"/>
          <w:szCs w:val="22"/>
        </w:rPr>
      </w:pPr>
      <w:r>
        <w:rPr>
          <w:b/>
          <w:bCs/>
          <w:sz w:val="22"/>
          <w:szCs w:val="22"/>
        </w:rPr>
        <w:t xml:space="preserve">Proposal </w:t>
      </w:r>
      <w:r w:rsidR="00720818">
        <w:rPr>
          <w:b/>
          <w:bCs/>
          <w:sz w:val="22"/>
          <w:szCs w:val="22"/>
        </w:rPr>
        <w:t>10</w:t>
      </w:r>
      <w:r>
        <w:rPr>
          <w:b/>
          <w:bCs/>
          <w:sz w:val="22"/>
          <w:szCs w:val="22"/>
        </w:rPr>
        <w:t xml:space="preserve">: </w:t>
      </w:r>
      <w:r w:rsidR="00F817F5">
        <w:rPr>
          <w:b/>
          <w:bCs/>
          <w:color w:val="000000"/>
          <w:sz w:val="22"/>
          <w:szCs w:val="22"/>
        </w:rPr>
        <w:t>For model pairing procedure for inference, if</w:t>
      </w:r>
      <w:r w:rsidR="00F817F5">
        <w:rPr>
          <w:rStyle w:val="apple-converted-space"/>
          <w:b/>
          <w:bCs/>
          <w:color w:val="000000"/>
          <w:sz w:val="22"/>
          <w:szCs w:val="22"/>
        </w:rPr>
        <w:t> </w:t>
      </w:r>
      <w:r w:rsidR="00F817F5">
        <w:rPr>
          <w:b/>
          <w:bCs/>
          <w:color w:val="000000"/>
          <w:sz w:val="22"/>
          <w:szCs w:val="22"/>
        </w:rPr>
        <w:t>different paring ID is used for different dataset and NW use</w:t>
      </w:r>
      <w:r w:rsidR="00D04FD4">
        <w:rPr>
          <w:b/>
          <w:bCs/>
          <w:color w:val="000000"/>
          <w:sz w:val="22"/>
          <w:szCs w:val="22"/>
        </w:rPr>
        <w:t>s</w:t>
      </w:r>
      <w:r w:rsidR="00F817F5">
        <w:rPr>
          <w:b/>
          <w:bCs/>
          <w:color w:val="000000"/>
          <w:sz w:val="22"/>
          <w:szCs w:val="22"/>
        </w:rPr>
        <w:t xml:space="preserve"> a mixing of datasets for NW side model training with</w:t>
      </w:r>
      <w:r w:rsidR="00F817F5">
        <w:rPr>
          <w:rStyle w:val="apple-converted-space"/>
          <w:b/>
          <w:bCs/>
          <w:color w:val="000000"/>
          <w:sz w:val="22"/>
          <w:szCs w:val="22"/>
        </w:rPr>
        <w:t> </w:t>
      </w:r>
      <w:r w:rsidR="00F817F5">
        <w:rPr>
          <w:b/>
          <w:bCs/>
          <w:color w:val="000000"/>
          <w:sz w:val="22"/>
          <w:szCs w:val="22"/>
        </w:rPr>
        <w:t>continuous learning:</w:t>
      </w:r>
    </w:p>
    <w:p w14:paraId="636E8A94" w14:textId="144120CB" w:rsidR="00F817F5" w:rsidRPr="00182D22" w:rsidRDefault="00354F46" w:rsidP="00182D22">
      <w:pPr>
        <w:pStyle w:val="ListParagraph"/>
        <w:numPr>
          <w:ilvl w:val="0"/>
          <w:numId w:val="70"/>
        </w:numPr>
        <w:ind w:leftChars="0"/>
        <w:rPr>
          <w:rFonts w:ascii="Times New Roman" w:hAnsi="Times New Roman"/>
          <w:color w:val="000000"/>
          <w:szCs w:val="20"/>
        </w:rPr>
      </w:pPr>
      <w:r>
        <w:rPr>
          <w:rFonts w:ascii="Times New Roman" w:hAnsi="Times New Roman"/>
          <w:b/>
          <w:bCs/>
          <w:color w:val="000000"/>
          <w:sz w:val="22"/>
          <w:szCs w:val="22"/>
        </w:rPr>
        <w:t>A</w:t>
      </w:r>
      <w:r w:rsidR="00F817F5" w:rsidRPr="00182D22">
        <w:rPr>
          <w:rFonts w:ascii="Times New Roman" w:hAnsi="Times New Roman"/>
          <w:b/>
          <w:bCs/>
          <w:color w:val="000000"/>
          <w:sz w:val="22"/>
          <w:szCs w:val="22"/>
        </w:rPr>
        <w:t xml:space="preserve"> </w:t>
      </w:r>
      <w:r w:rsidR="004D0289">
        <w:rPr>
          <w:rFonts w:ascii="Times New Roman" w:hAnsi="Times New Roman"/>
          <w:b/>
          <w:bCs/>
          <w:color w:val="000000"/>
          <w:sz w:val="22"/>
          <w:szCs w:val="22"/>
        </w:rPr>
        <w:t>pairing</w:t>
      </w:r>
      <w:r w:rsidR="00F817F5" w:rsidRPr="00182D22">
        <w:rPr>
          <w:rFonts w:ascii="Times New Roman" w:hAnsi="Times New Roman"/>
          <w:b/>
          <w:bCs/>
          <w:color w:val="000000"/>
          <w:sz w:val="22"/>
          <w:szCs w:val="22"/>
        </w:rPr>
        <w:t xml:space="preserve"> ID list is used in inference configuration as part of </w:t>
      </w:r>
      <w:r w:rsidR="009D7F83">
        <w:rPr>
          <w:rFonts w:ascii="Times New Roman" w:hAnsi="Times New Roman"/>
          <w:b/>
          <w:bCs/>
          <w:color w:val="000000"/>
          <w:sz w:val="22"/>
          <w:szCs w:val="22"/>
        </w:rPr>
        <w:t xml:space="preserve">the </w:t>
      </w:r>
      <w:r w:rsidR="00F817F5" w:rsidRPr="00182D22">
        <w:rPr>
          <w:rFonts w:ascii="Times New Roman" w:hAnsi="Times New Roman"/>
          <w:b/>
          <w:bCs/>
          <w:color w:val="000000"/>
          <w:sz w:val="22"/>
          <w:szCs w:val="22"/>
        </w:rPr>
        <w:t>applicability reporting procedure</w:t>
      </w:r>
      <w:r w:rsidR="00C11DD1">
        <w:rPr>
          <w:rFonts w:ascii="Times New Roman" w:hAnsi="Times New Roman"/>
          <w:b/>
          <w:bCs/>
          <w:color w:val="000000"/>
          <w:sz w:val="22"/>
          <w:szCs w:val="22"/>
        </w:rPr>
        <w:t>; and</w:t>
      </w:r>
      <w:r w:rsidR="00F817F5" w:rsidRPr="00182D22">
        <w:rPr>
          <w:rFonts w:ascii="Times New Roman" w:hAnsi="Times New Roman"/>
          <w:b/>
          <w:bCs/>
          <w:color w:val="000000"/>
          <w:sz w:val="22"/>
          <w:szCs w:val="22"/>
        </w:rPr>
        <w:t> </w:t>
      </w:r>
    </w:p>
    <w:p w14:paraId="53264508" w14:textId="03B9E32D" w:rsidR="00344460" w:rsidRPr="006F2614" w:rsidRDefault="00F817F5" w:rsidP="00A17182">
      <w:pPr>
        <w:pStyle w:val="ListParagraph"/>
        <w:numPr>
          <w:ilvl w:val="0"/>
          <w:numId w:val="70"/>
        </w:numPr>
        <w:ind w:leftChars="0"/>
        <w:rPr>
          <w:rFonts w:ascii="Times New Roman" w:hAnsi="Times New Roman"/>
          <w:color w:val="000000"/>
          <w:szCs w:val="20"/>
        </w:rPr>
      </w:pPr>
      <w:r w:rsidRPr="00182D22">
        <w:rPr>
          <w:rFonts w:ascii="Times New Roman" w:hAnsi="Times New Roman"/>
          <w:b/>
          <w:bCs/>
          <w:color w:val="000000"/>
          <w:sz w:val="22"/>
          <w:szCs w:val="22"/>
        </w:rPr>
        <w:t xml:space="preserve">UE will report applicable if one of </w:t>
      </w:r>
      <w:r w:rsidR="0093533F">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sidR="0093533F">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sidR="004C52D8">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within the </w:t>
      </w:r>
      <w:r w:rsidR="002B2F1C">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w:t>
      </w:r>
    </w:p>
    <w:p w14:paraId="4694B42F" w14:textId="0A9737A7" w:rsidR="00C75A97" w:rsidRDefault="00C75A97" w:rsidP="00A17182">
      <w:pPr>
        <w:rPr>
          <w:sz w:val="22"/>
          <w:szCs w:val="22"/>
        </w:rPr>
      </w:pPr>
      <w:r>
        <w:rPr>
          <w:color w:val="000000" w:themeColor="text1"/>
          <w:sz w:val="22"/>
          <w:szCs w:val="22"/>
        </w:rPr>
        <w:t xml:space="preserve"> </w:t>
      </w:r>
    </w:p>
    <w:bookmarkEnd w:id="0"/>
    <w:bookmarkEnd w:id="1"/>
    <w:p w14:paraId="0E539A8F" w14:textId="77777777" w:rsidR="00E1410C" w:rsidRDefault="00000000">
      <w:pPr>
        <w:pStyle w:val="Heading1"/>
      </w:pPr>
      <w:r>
        <w:t>Conclusion</w:t>
      </w:r>
    </w:p>
    <w:p w14:paraId="385D1899" w14:textId="2FA05975"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w:t>
      </w:r>
      <w:r w:rsidR="00940B36">
        <w:rPr>
          <w:sz w:val="22"/>
          <w:szCs w:val="22"/>
          <w:lang w:val="en-US" w:eastAsia="zh-CN"/>
        </w:rPr>
        <w:t>other aspects</w:t>
      </w:r>
      <w:r w:rsidR="00716D14">
        <w:rPr>
          <w:sz w:val="22"/>
          <w:szCs w:val="22"/>
          <w:lang w:val="en-US" w:eastAsia="zh-CN"/>
        </w:rPr>
        <w:t xml:space="preserve"> of</w:t>
      </w:r>
      <w:r w:rsidR="007A0625">
        <w:rPr>
          <w:sz w:val="22"/>
          <w:szCs w:val="22"/>
          <w:lang w:val="en-US" w:eastAsia="zh-CN"/>
        </w:rPr>
        <w:t xml:space="preserve"> </w:t>
      </w:r>
      <w:r w:rsidR="00716D14">
        <w:rPr>
          <w:sz w:val="22"/>
          <w:szCs w:val="22"/>
          <w:lang w:val="en-US" w:eastAsia="zh-CN"/>
        </w:rPr>
        <w:t xml:space="preserve">AI based </w:t>
      </w:r>
      <w:r w:rsidR="007A0625">
        <w:rPr>
          <w:sz w:val="22"/>
          <w:szCs w:val="22"/>
          <w:lang w:val="en-US" w:eastAsia="zh-CN"/>
        </w:rPr>
        <w:t xml:space="preserve">CSI </w:t>
      </w:r>
      <w:r w:rsidR="00940B36">
        <w:rPr>
          <w:sz w:val="22"/>
          <w:szCs w:val="22"/>
          <w:lang w:val="en-US" w:eastAsia="zh-CN"/>
        </w:rPr>
        <w:t>compression</w:t>
      </w:r>
      <w:r w:rsidR="007A0625">
        <w:rPr>
          <w:sz w:val="22"/>
          <w:szCs w:val="22"/>
          <w:lang w:val="en-US" w:eastAsia="zh-CN"/>
        </w:rPr>
        <w:t xml:space="preserve"> use case. </w:t>
      </w:r>
      <w:r>
        <w:rPr>
          <w:sz w:val="22"/>
          <w:szCs w:val="22"/>
          <w:lang w:val="en-US" w:eastAsia="zh-CN"/>
        </w:rPr>
        <w:t>Based on the discussion, the following proposals have been proposed.</w:t>
      </w:r>
    </w:p>
    <w:p w14:paraId="4F32C70F" w14:textId="77777777" w:rsidR="00570C18" w:rsidRDefault="00570C18" w:rsidP="00570C18">
      <w:pPr>
        <w:rPr>
          <w:sz w:val="22"/>
          <w:szCs w:val="22"/>
        </w:rPr>
      </w:pPr>
    </w:p>
    <w:p w14:paraId="605ABB1D" w14:textId="0A9F91D8" w:rsidR="00522283" w:rsidRDefault="00522283" w:rsidP="00522283">
      <w:pPr>
        <w:rPr>
          <w:sz w:val="22"/>
          <w:szCs w:val="22"/>
        </w:rPr>
      </w:pPr>
      <w:r>
        <w:rPr>
          <w:b/>
          <w:bCs/>
          <w:color w:val="000000" w:themeColor="text1"/>
          <w:sz w:val="22"/>
          <w:szCs w:val="22"/>
        </w:rPr>
        <w:t>Observation</w:t>
      </w:r>
      <w:r w:rsidRPr="00F92B76">
        <w:rPr>
          <w:b/>
          <w:bCs/>
          <w:color w:val="000000" w:themeColor="text1"/>
          <w:sz w:val="22"/>
          <w:szCs w:val="22"/>
        </w:rPr>
        <w:t xml:space="preserve"> </w:t>
      </w:r>
      <w:r>
        <w:rPr>
          <w:b/>
          <w:bCs/>
          <w:color w:val="000000" w:themeColor="text1"/>
          <w:sz w:val="22"/>
          <w:szCs w:val="22"/>
        </w:rPr>
        <w:t>1</w:t>
      </w:r>
      <w:r w:rsidRPr="00F92B76">
        <w:rPr>
          <w:b/>
          <w:bCs/>
          <w:color w:val="000000" w:themeColor="text1"/>
          <w:sz w:val="22"/>
          <w:szCs w:val="22"/>
        </w:rPr>
        <w:t>: For</w:t>
      </w:r>
      <w:r>
        <w:rPr>
          <w:b/>
          <w:bCs/>
          <w:color w:val="000000" w:themeColor="text1"/>
          <w:sz w:val="22"/>
          <w:szCs w:val="22"/>
        </w:rPr>
        <w:t xml:space="preserve"> NW side data collection, the complexity to obtain Tx eigen vectors are much lower than the complexity of SVD operation on </w:t>
      </w:r>
      <w:r w:rsidR="00CC0F48">
        <w:rPr>
          <w:b/>
          <w:bCs/>
          <w:color w:val="000000" w:themeColor="text1"/>
          <w:sz w:val="22"/>
          <w:szCs w:val="22"/>
        </w:rPr>
        <w:t xml:space="preserve">a </w:t>
      </w:r>
      <w:r>
        <w:rPr>
          <w:b/>
          <w:bCs/>
          <w:color w:val="000000" w:themeColor="text1"/>
          <w:sz w:val="22"/>
          <w:szCs w:val="22"/>
        </w:rPr>
        <w:t>Tx covariance matrix.</w:t>
      </w:r>
    </w:p>
    <w:p w14:paraId="29E94552" w14:textId="77777777" w:rsidR="00522283" w:rsidRDefault="00522283" w:rsidP="00570C18">
      <w:pPr>
        <w:rPr>
          <w:b/>
          <w:bCs/>
          <w:color w:val="000000" w:themeColor="text1"/>
          <w:sz w:val="22"/>
          <w:szCs w:val="22"/>
        </w:rPr>
      </w:pPr>
    </w:p>
    <w:p w14:paraId="7ABC80DE" w14:textId="77777777" w:rsidR="003546F7" w:rsidRDefault="003546F7" w:rsidP="003546F7">
      <w:pPr>
        <w:rPr>
          <w:b/>
          <w:bCs/>
          <w:color w:val="000000" w:themeColor="text1"/>
          <w:sz w:val="22"/>
          <w:szCs w:val="22"/>
        </w:rPr>
      </w:pPr>
      <w:r w:rsidRPr="00F92B76">
        <w:rPr>
          <w:b/>
          <w:bCs/>
          <w:color w:val="000000" w:themeColor="text1"/>
          <w:sz w:val="22"/>
          <w:szCs w:val="22"/>
        </w:rPr>
        <w:t xml:space="preserve">Proposal </w:t>
      </w:r>
      <w:r>
        <w:rPr>
          <w:b/>
          <w:bCs/>
          <w:color w:val="000000" w:themeColor="text1"/>
          <w:sz w:val="22"/>
          <w:szCs w:val="22"/>
        </w:rPr>
        <w:t>1</w:t>
      </w:r>
      <w:r w:rsidRPr="00F92B76">
        <w:rPr>
          <w:b/>
          <w:bCs/>
          <w:color w:val="000000" w:themeColor="text1"/>
          <w:sz w:val="22"/>
          <w:szCs w:val="22"/>
        </w:rPr>
        <w:t xml:space="preserve">: </w:t>
      </w:r>
      <w:r>
        <w:rPr>
          <w:b/>
          <w:bCs/>
          <w:color w:val="000000" w:themeColor="text1"/>
          <w:sz w:val="22"/>
          <w:szCs w:val="22"/>
        </w:rPr>
        <w:t xml:space="preserve">Scale the target CSI by </w:t>
      </w:r>
      <m:oMath>
        <m:rad>
          <m:radPr>
            <m:degHide m:val="1"/>
            <m:ctrlPr>
              <w:rPr>
                <w:rFonts w:ascii="Cambria Math" w:hAnsi="Cambria Math"/>
                <w:b/>
                <w:bCs/>
                <w:i/>
                <w:sz w:val="22"/>
                <w:szCs w:val="22"/>
              </w:rPr>
            </m:ctrlPr>
          </m:radPr>
          <m:deg/>
          <m:e>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tx</m:t>
                </m:r>
              </m:sub>
            </m:sSub>
          </m:e>
        </m:rad>
      </m:oMath>
      <w:r>
        <w:rPr>
          <w:b/>
          <w:bCs/>
          <w:sz w:val="22"/>
          <w:szCs w:val="22"/>
        </w:rPr>
        <w:t xml:space="preserve"> and apply fixed quantization range, e.g., [-1.82, 1.82], for each of the </w:t>
      </w:r>
      <m:oMath>
        <m:sSub>
          <m:sSubPr>
            <m:ctrlPr>
              <w:rPr>
                <w:rFonts w:ascii="Cambria Math" w:hAnsi="Cambria Math"/>
                <w:b/>
                <w:bCs/>
                <w:i/>
                <w:sz w:val="22"/>
                <w:szCs w:val="22"/>
              </w:rPr>
            </m:ctrlPr>
          </m:sSubPr>
          <m:e>
            <m:r>
              <m:rPr>
                <m:sty m:val="bi"/>
              </m:rPr>
              <w:rPr>
                <w:rFonts w:ascii="Cambria Math" w:hAnsi="Cambria Math"/>
                <w:sz w:val="22"/>
                <w:szCs w:val="22"/>
              </w:rPr>
              <m:t>2</m:t>
            </m:r>
            <m:r>
              <m:rPr>
                <m:sty m:val="bi"/>
              </m:rPr>
              <w:rPr>
                <w:rFonts w:ascii="Cambria Math" w:hAnsi="Cambria Math"/>
                <w:sz w:val="22"/>
                <w:szCs w:val="22"/>
              </w:rPr>
              <m:t>N</m:t>
            </m:r>
          </m:e>
          <m:sub>
            <m:r>
              <m:rPr>
                <m:sty m:val="bi"/>
              </m:rPr>
              <w:rPr>
                <w:rFonts w:ascii="Cambria Math" w:hAnsi="Cambria Math"/>
                <w:sz w:val="22"/>
                <w:szCs w:val="22"/>
              </w:rPr>
              <m:t>1</m:t>
            </m:r>
          </m:sub>
        </m:sSub>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2</m:t>
            </m:r>
          </m:sub>
        </m:sSub>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3</m:t>
            </m:r>
          </m:sub>
        </m:sSub>
        <m:r>
          <m:rPr>
            <m:sty m:val="bi"/>
          </m:rPr>
          <w:rPr>
            <w:rFonts w:ascii="Cambria Math" w:hAnsi="Cambria Math"/>
            <w:sz w:val="22"/>
            <w:szCs w:val="22"/>
          </w:rPr>
          <m:t>v</m:t>
        </m:r>
      </m:oMath>
      <w:r>
        <w:rPr>
          <w:b/>
          <w:bCs/>
          <w:sz w:val="22"/>
          <w:szCs w:val="22"/>
        </w:rPr>
        <w:t xml:space="preserve"> real/imaginary part</w:t>
      </w:r>
      <w:r>
        <w:rPr>
          <w:b/>
          <w:bCs/>
          <w:color w:val="000000" w:themeColor="text1"/>
          <w:sz w:val="22"/>
          <w:szCs w:val="22"/>
        </w:rPr>
        <w:t>.</w:t>
      </w:r>
    </w:p>
    <w:p w14:paraId="0663558D" w14:textId="77777777" w:rsidR="00D15B7D" w:rsidRDefault="00D15B7D" w:rsidP="003546F7">
      <w:pPr>
        <w:rPr>
          <w:b/>
          <w:bCs/>
          <w:color w:val="000000" w:themeColor="text1"/>
          <w:sz w:val="22"/>
          <w:szCs w:val="22"/>
        </w:rPr>
      </w:pPr>
    </w:p>
    <w:p w14:paraId="3961F622" w14:textId="77777777" w:rsidR="00D15B7D" w:rsidRDefault="00D15B7D" w:rsidP="00D15B7D">
      <w:pPr>
        <w:rPr>
          <w:sz w:val="22"/>
          <w:szCs w:val="22"/>
        </w:rPr>
      </w:pPr>
      <w:r w:rsidRPr="00F92B76">
        <w:rPr>
          <w:b/>
          <w:bCs/>
          <w:color w:val="000000" w:themeColor="text1"/>
          <w:sz w:val="22"/>
          <w:szCs w:val="22"/>
        </w:rPr>
        <w:t xml:space="preserve">Proposal </w:t>
      </w:r>
      <w:r>
        <w:rPr>
          <w:b/>
          <w:bCs/>
          <w:color w:val="000000" w:themeColor="text1"/>
          <w:sz w:val="22"/>
          <w:szCs w:val="22"/>
        </w:rPr>
        <w:t>2</w:t>
      </w:r>
      <w:r w:rsidRPr="00F92B76">
        <w:rPr>
          <w:b/>
          <w:bCs/>
          <w:color w:val="000000" w:themeColor="text1"/>
          <w:sz w:val="22"/>
          <w:szCs w:val="22"/>
        </w:rPr>
        <w:t>: For</w:t>
      </w:r>
      <w:r>
        <w:rPr>
          <w:b/>
          <w:bCs/>
          <w:color w:val="000000" w:themeColor="text1"/>
          <w:sz w:val="22"/>
          <w:szCs w:val="22"/>
        </w:rPr>
        <w:t xml:space="preserve"> NW side data collection option 1, 5bits per real or imaginary part scalar quantization is adopted to evenly quantize each real or imaginary part within range of [-1.82, 1.82].  </w:t>
      </w:r>
    </w:p>
    <w:p w14:paraId="0126679F" w14:textId="77777777" w:rsidR="00D15B7D" w:rsidRDefault="00D15B7D" w:rsidP="003546F7">
      <w:pPr>
        <w:rPr>
          <w:sz w:val="22"/>
          <w:szCs w:val="22"/>
        </w:rPr>
      </w:pPr>
    </w:p>
    <w:p w14:paraId="58A165FA" w14:textId="67BE21EF" w:rsidR="00570C18" w:rsidRDefault="002D3C61" w:rsidP="00570C18">
      <w:pPr>
        <w:rPr>
          <w:sz w:val="22"/>
          <w:szCs w:val="22"/>
        </w:rPr>
      </w:pPr>
      <w:r w:rsidRPr="00F92B76">
        <w:rPr>
          <w:b/>
          <w:bCs/>
          <w:color w:val="000000" w:themeColor="text1"/>
          <w:sz w:val="22"/>
          <w:szCs w:val="22"/>
        </w:rPr>
        <w:t xml:space="preserve">Proposal </w:t>
      </w:r>
      <w:r>
        <w:rPr>
          <w:b/>
          <w:bCs/>
          <w:color w:val="000000" w:themeColor="text1"/>
          <w:sz w:val="22"/>
          <w:szCs w:val="22"/>
        </w:rPr>
        <w:t>3</w:t>
      </w:r>
      <w:r w:rsidRPr="00F92B76">
        <w:rPr>
          <w:b/>
          <w:bCs/>
          <w:color w:val="000000" w:themeColor="text1"/>
          <w:sz w:val="22"/>
          <w:szCs w:val="22"/>
        </w:rPr>
        <w:t xml:space="preserve">: </w:t>
      </w:r>
      <w:r>
        <w:rPr>
          <w:b/>
          <w:bCs/>
          <w:color w:val="000000" w:themeColor="text1"/>
          <w:sz w:val="22"/>
          <w:szCs w:val="22"/>
        </w:rPr>
        <w:t xml:space="preserve">Do not support </w:t>
      </w:r>
      <w:proofErr w:type="spellStart"/>
      <w:r>
        <w:rPr>
          <w:b/>
          <w:bCs/>
          <w:color w:val="000000" w:themeColor="text1"/>
          <w:sz w:val="22"/>
          <w:szCs w:val="22"/>
        </w:rPr>
        <w:t>eTypeII</w:t>
      </w:r>
      <w:proofErr w:type="spellEnd"/>
      <w:r>
        <w:rPr>
          <w:b/>
          <w:bCs/>
          <w:color w:val="000000" w:themeColor="text1"/>
          <w:sz w:val="22"/>
          <w:szCs w:val="22"/>
        </w:rPr>
        <w:t xml:space="preserve"> based training data set quantization.</w:t>
      </w:r>
    </w:p>
    <w:p w14:paraId="245627A3" w14:textId="77777777" w:rsidR="00940B36" w:rsidRDefault="00940B36">
      <w:pPr>
        <w:pStyle w:val="0Maintext"/>
        <w:spacing w:after="120" w:afterAutospacing="0" w:line="240" w:lineRule="auto"/>
        <w:ind w:firstLine="0"/>
        <w:rPr>
          <w:sz w:val="22"/>
          <w:szCs w:val="22"/>
          <w:lang w:val="en-US" w:eastAsia="zh-CN"/>
        </w:rPr>
      </w:pPr>
    </w:p>
    <w:p w14:paraId="200DFD5C" w14:textId="286FA284" w:rsidR="00570C18" w:rsidRDefault="00570C18" w:rsidP="00570C18">
      <w:pPr>
        <w:rPr>
          <w:sz w:val="22"/>
          <w:szCs w:val="22"/>
        </w:rPr>
      </w:pPr>
      <w:r w:rsidRPr="00F92B76">
        <w:rPr>
          <w:b/>
          <w:bCs/>
          <w:color w:val="000000" w:themeColor="text1"/>
          <w:sz w:val="22"/>
          <w:szCs w:val="22"/>
        </w:rPr>
        <w:t xml:space="preserve">Proposal </w:t>
      </w:r>
      <w:r w:rsidR="003A0AF7">
        <w:rPr>
          <w:b/>
          <w:bCs/>
          <w:color w:val="000000" w:themeColor="text1"/>
          <w:sz w:val="22"/>
          <w:szCs w:val="22"/>
        </w:rPr>
        <w:t>4</w:t>
      </w:r>
      <w:r w:rsidRPr="00F92B76">
        <w:rPr>
          <w:b/>
          <w:bCs/>
          <w:color w:val="000000" w:themeColor="text1"/>
          <w:sz w:val="22"/>
          <w:szCs w:val="22"/>
        </w:rPr>
        <w:t>:</w:t>
      </w:r>
      <w:r>
        <w:rPr>
          <w:b/>
          <w:bCs/>
          <w:color w:val="000000" w:themeColor="text1"/>
          <w:sz w:val="22"/>
          <w:szCs w:val="22"/>
        </w:rPr>
        <w:t xml:space="preserve"> </w:t>
      </w:r>
      <w:r>
        <w:rPr>
          <w:b/>
          <w:bCs/>
          <w:sz w:val="22"/>
          <w:szCs w:val="22"/>
        </w:rPr>
        <w:t xml:space="preserve">For UE side data collection, </w:t>
      </w:r>
      <w:r w:rsidRPr="00A05DD3">
        <w:rPr>
          <w:b/>
          <w:bCs/>
          <w:sz w:val="22"/>
          <w:szCs w:val="22"/>
        </w:rPr>
        <w:t>when a UE initiates a data collection procedure for training purposes, it may also recommend a CSI-RS-related configuration</w:t>
      </w:r>
      <w:r>
        <w:rPr>
          <w:b/>
          <w:bCs/>
          <w:sz w:val="22"/>
          <w:szCs w:val="22"/>
        </w:rPr>
        <w:t xml:space="preserve"> </w:t>
      </w:r>
      <w:r w:rsidRPr="00A05DD3">
        <w:rPr>
          <w:b/>
          <w:bCs/>
          <w:sz w:val="22"/>
          <w:szCs w:val="22"/>
        </w:rPr>
        <w:t>such as CSI-RS density and association ID</w:t>
      </w:r>
      <w:r>
        <w:rPr>
          <w:b/>
          <w:bCs/>
          <w:sz w:val="22"/>
          <w:szCs w:val="22"/>
        </w:rPr>
        <w:t xml:space="preserve">, </w:t>
      </w:r>
      <w:r w:rsidRPr="00A05DD3">
        <w:rPr>
          <w:b/>
          <w:bCs/>
          <w:sz w:val="22"/>
          <w:szCs w:val="22"/>
        </w:rPr>
        <w:t>to optimize the quality of the collected data.</w:t>
      </w:r>
    </w:p>
    <w:p w14:paraId="0F70CCBB" w14:textId="77777777" w:rsidR="00570C18" w:rsidRDefault="00570C18">
      <w:pPr>
        <w:pStyle w:val="0Maintext"/>
        <w:spacing w:after="120" w:afterAutospacing="0" w:line="240" w:lineRule="auto"/>
        <w:ind w:firstLine="0"/>
        <w:rPr>
          <w:sz w:val="22"/>
          <w:szCs w:val="22"/>
          <w:lang w:val="en-US" w:eastAsia="zh-CN"/>
        </w:rPr>
      </w:pPr>
    </w:p>
    <w:p w14:paraId="6D943BC8" w14:textId="0598DE79" w:rsidR="00570C18" w:rsidRDefault="00570C18" w:rsidP="00570C18">
      <w:pPr>
        <w:rPr>
          <w:b/>
          <w:bCs/>
          <w:sz w:val="22"/>
          <w:szCs w:val="22"/>
        </w:rPr>
      </w:pPr>
      <w:r w:rsidRPr="00F3271C">
        <w:rPr>
          <w:b/>
          <w:bCs/>
          <w:sz w:val="22"/>
          <w:szCs w:val="22"/>
        </w:rPr>
        <w:t xml:space="preserve">Observation </w:t>
      </w:r>
      <w:r w:rsidR="0046310E">
        <w:rPr>
          <w:b/>
          <w:bCs/>
          <w:sz w:val="22"/>
          <w:szCs w:val="22"/>
        </w:rPr>
        <w:t>2</w:t>
      </w:r>
      <w:r w:rsidRPr="00F3271C">
        <w:rPr>
          <w:b/>
          <w:bCs/>
          <w:sz w:val="22"/>
          <w:szCs w:val="22"/>
        </w:rPr>
        <w:t xml:space="preserve">: </w:t>
      </w:r>
      <w:r>
        <w:rPr>
          <w:b/>
          <w:bCs/>
          <w:sz w:val="22"/>
          <w:szCs w:val="22"/>
        </w:rPr>
        <w:t xml:space="preserve">For UE side performance, NW implicitly transmit output CSI using </w:t>
      </w:r>
      <w:proofErr w:type="spellStart"/>
      <w:r>
        <w:rPr>
          <w:b/>
          <w:bCs/>
          <w:sz w:val="22"/>
          <w:szCs w:val="22"/>
        </w:rPr>
        <w:t>precoded</w:t>
      </w:r>
      <w:proofErr w:type="spellEnd"/>
      <w:r>
        <w:rPr>
          <w:b/>
          <w:bCs/>
          <w:sz w:val="22"/>
          <w:szCs w:val="22"/>
        </w:rPr>
        <w:t xml:space="preserve"> CSI-RS or DMRS to the UE, provides a simple and low-overhead solution. In addition, comparing with legacy codebook based on defined </w:t>
      </w:r>
      <w:proofErr w:type="spellStart"/>
      <w:proofErr w:type="gramStart"/>
      <w:r>
        <w:rPr>
          <w:b/>
          <w:bCs/>
          <w:sz w:val="22"/>
          <w:szCs w:val="22"/>
        </w:rPr>
        <w:t>KPI</w:t>
      </w:r>
      <w:r>
        <w:rPr>
          <w:b/>
          <w:bCs/>
          <w:sz w:val="22"/>
          <w:szCs w:val="22"/>
          <w:vertAlign w:val="subscript"/>
        </w:rPr>
        <w:t>codebook</w:t>
      </w:r>
      <w:proofErr w:type="spellEnd"/>
      <w:r>
        <w:rPr>
          <w:b/>
          <w:bCs/>
          <w:sz w:val="22"/>
          <w:szCs w:val="22"/>
          <w:vertAlign w:val="subscript"/>
        </w:rPr>
        <w:t xml:space="preserve"> </w:t>
      </w:r>
      <w:r>
        <w:rPr>
          <w:b/>
          <w:bCs/>
          <w:sz w:val="22"/>
          <w:szCs w:val="22"/>
        </w:rPr>
        <w:t xml:space="preserve"> and</w:t>
      </w:r>
      <w:proofErr w:type="gramEnd"/>
      <w:r>
        <w:rPr>
          <w:b/>
          <w:bCs/>
          <w:sz w:val="22"/>
          <w:szCs w:val="22"/>
        </w:rPr>
        <w:t xml:space="preserve"> </w:t>
      </w:r>
      <w:proofErr w:type="spellStart"/>
      <w:r>
        <w:rPr>
          <w:b/>
          <w:bCs/>
          <w:sz w:val="22"/>
          <w:szCs w:val="22"/>
        </w:rPr>
        <w:t>KPI</w:t>
      </w:r>
      <w:r w:rsidRPr="00805602">
        <w:rPr>
          <w:b/>
          <w:bCs/>
          <w:sz w:val="22"/>
          <w:szCs w:val="22"/>
          <w:vertAlign w:val="subscript"/>
        </w:rPr>
        <w:t>actual</w:t>
      </w:r>
      <w:proofErr w:type="spellEnd"/>
      <w:r>
        <w:rPr>
          <w:b/>
          <w:bCs/>
          <w:sz w:val="22"/>
          <w:szCs w:val="22"/>
        </w:rPr>
        <w:t xml:space="preserve"> can help to determine whether fall back decision is required.  </w:t>
      </w:r>
    </w:p>
    <w:p w14:paraId="26C999E6" w14:textId="77777777" w:rsidR="00570C18" w:rsidRDefault="00570C18">
      <w:pPr>
        <w:pStyle w:val="0Maintext"/>
        <w:spacing w:after="120" w:afterAutospacing="0" w:line="240" w:lineRule="auto"/>
        <w:ind w:firstLine="0"/>
        <w:rPr>
          <w:sz w:val="22"/>
          <w:szCs w:val="22"/>
          <w:lang w:val="en-US" w:eastAsia="zh-CN"/>
        </w:rPr>
      </w:pPr>
    </w:p>
    <w:p w14:paraId="56A128A8" w14:textId="1A998335" w:rsidR="006428C9" w:rsidRDefault="006428C9" w:rsidP="006428C9">
      <w:pPr>
        <w:rPr>
          <w:b/>
          <w:bCs/>
          <w:sz w:val="22"/>
          <w:szCs w:val="22"/>
        </w:rPr>
      </w:pPr>
      <w:r>
        <w:rPr>
          <w:b/>
          <w:bCs/>
          <w:sz w:val="22"/>
          <w:szCs w:val="22"/>
        </w:rPr>
        <w:t xml:space="preserve">Proposal </w:t>
      </w:r>
      <w:r w:rsidR="00230352">
        <w:rPr>
          <w:b/>
          <w:bCs/>
          <w:sz w:val="22"/>
          <w:szCs w:val="22"/>
        </w:rPr>
        <w:t>5</w:t>
      </w:r>
      <w:r>
        <w:rPr>
          <w:b/>
          <w:bCs/>
          <w:sz w:val="22"/>
          <w:szCs w:val="22"/>
        </w:rPr>
        <w:t xml:space="preserve">: For CSI compression using two-sided model, support UE side performance monitoring with pre-coded RS using output CSI. Define monitoring KPI using precoding gain difference between </w:t>
      </w:r>
      <w:proofErr w:type="spellStart"/>
      <w:r>
        <w:rPr>
          <w:b/>
          <w:bCs/>
          <w:sz w:val="22"/>
          <w:szCs w:val="22"/>
        </w:rPr>
        <w:t>KPI</w:t>
      </w:r>
      <w:r>
        <w:rPr>
          <w:b/>
          <w:bCs/>
          <w:sz w:val="22"/>
          <w:szCs w:val="22"/>
          <w:vertAlign w:val="subscript"/>
        </w:rPr>
        <w:t>codebook</w:t>
      </w:r>
      <w:proofErr w:type="spellEnd"/>
      <w:r>
        <w:rPr>
          <w:b/>
          <w:bCs/>
          <w:sz w:val="22"/>
          <w:szCs w:val="22"/>
        </w:rPr>
        <w:t xml:space="preserve"> and </w:t>
      </w:r>
      <w:proofErr w:type="spellStart"/>
      <w:r>
        <w:rPr>
          <w:b/>
          <w:bCs/>
          <w:sz w:val="22"/>
          <w:szCs w:val="22"/>
        </w:rPr>
        <w:t>KPI</w:t>
      </w:r>
      <w:r w:rsidRPr="00805602">
        <w:rPr>
          <w:b/>
          <w:bCs/>
          <w:sz w:val="22"/>
          <w:szCs w:val="22"/>
          <w:vertAlign w:val="subscript"/>
        </w:rPr>
        <w:t>actual</w:t>
      </w:r>
      <w:proofErr w:type="spellEnd"/>
      <w:r>
        <w:rPr>
          <w:b/>
          <w:bCs/>
          <w:sz w:val="22"/>
          <w:szCs w:val="22"/>
          <w:vertAlign w:val="subscript"/>
        </w:rPr>
        <w:t xml:space="preserve">. </w:t>
      </w:r>
      <w:r>
        <w:rPr>
          <w:b/>
          <w:bCs/>
          <w:sz w:val="22"/>
          <w:szCs w:val="22"/>
        </w:rPr>
        <w:t xml:space="preserve">  </w:t>
      </w:r>
    </w:p>
    <w:p w14:paraId="7FA1A785" w14:textId="77777777" w:rsidR="006428C9" w:rsidRDefault="006428C9" w:rsidP="006428C9">
      <w:pPr>
        <w:rPr>
          <w:b/>
          <w:bCs/>
          <w:sz w:val="22"/>
          <w:szCs w:val="22"/>
        </w:rPr>
      </w:pPr>
      <w:r>
        <w:rPr>
          <w:b/>
          <w:bCs/>
          <w:sz w:val="22"/>
          <w:szCs w:val="22"/>
        </w:rPr>
        <w:t xml:space="preserve"> </w:t>
      </w:r>
    </w:p>
    <w:p w14:paraId="77A48822" w14:textId="01D8E5BA" w:rsidR="006428C9" w:rsidRDefault="006428C9" w:rsidP="006428C9">
      <w:pPr>
        <w:rPr>
          <w:b/>
          <w:bCs/>
          <w:sz w:val="22"/>
          <w:szCs w:val="22"/>
        </w:rPr>
      </w:pPr>
      <w:r>
        <w:rPr>
          <w:b/>
          <w:bCs/>
          <w:sz w:val="22"/>
          <w:szCs w:val="22"/>
        </w:rPr>
        <w:t xml:space="preserve">Proposal </w:t>
      </w:r>
      <w:r w:rsidR="00983137">
        <w:rPr>
          <w:b/>
          <w:bCs/>
          <w:sz w:val="22"/>
          <w:szCs w:val="22"/>
        </w:rPr>
        <w:t>6</w:t>
      </w:r>
      <w:r>
        <w:rPr>
          <w:b/>
          <w:bCs/>
          <w:sz w:val="22"/>
          <w:szCs w:val="22"/>
        </w:rPr>
        <w:t>: For CSI compression using two-sided model, for UE side performance, support RLF/BFD like mechanism. UE transmit fallback request via the applicability report procedure with UAI.</w:t>
      </w:r>
    </w:p>
    <w:p w14:paraId="7E077310" w14:textId="77777777" w:rsidR="006428C9" w:rsidRDefault="006428C9" w:rsidP="006428C9">
      <w:pPr>
        <w:rPr>
          <w:sz w:val="22"/>
          <w:szCs w:val="22"/>
        </w:rPr>
      </w:pPr>
    </w:p>
    <w:p w14:paraId="7ED6309C" w14:textId="147F9EBB" w:rsidR="006428C9" w:rsidRDefault="006428C9" w:rsidP="006428C9">
      <w:pPr>
        <w:rPr>
          <w:sz w:val="22"/>
          <w:szCs w:val="22"/>
        </w:rPr>
      </w:pPr>
      <w:r>
        <w:rPr>
          <w:b/>
          <w:bCs/>
          <w:sz w:val="22"/>
          <w:szCs w:val="22"/>
        </w:rPr>
        <w:t xml:space="preserve">Proposal </w:t>
      </w:r>
      <w:r w:rsidR="001B53C7">
        <w:rPr>
          <w:b/>
          <w:bCs/>
          <w:sz w:val="22"/>
          <w:szCs w:val="22"/>
        </w:rPr>
        <w:t>7</w:t>
      </w:r>
      <w:r>
        <w:rPr>
          <w:b/>
          <w:bCs/>
          <w:sz w:val="22"/>
          <w:szCs w:val="22"/>
        </w:rPr>
        <w:t xml:space="preserve">: For CSI compression using two-sided model, for NW side performance monitoring, UE report CSI feedback and target CSI pair using immediate MDT with logging framework. The MDT framework can be used for root cause detection following UE side performance monitoring. </w:t>
      </w:r>
    </w:p>
    <w:p w14:paraId="3F6D13E6" w14:textId="77777777" w:rsidR="006428C9" w:rsidRDefault="006428C9">
      <w:pPr>
        <w:pStyle w:val="0Maintext"/>
        <w:spacing w:after="120" w:afterAutospacing="0" w:line="240" w:lineRule="auto"/>
        <w:ind w:firstLine="0"/>
        <w:rPr>
          <w:sz w:val="22"/>
          <w:szCs w:val="22"/>
          <w:lang w:val="en-US" w:eastAsia="zh-CN"/>
        </w:rPr>
      </w:pPr>
    </w:p>
    <w:p w14:paraId="267F9CF8" w14:textId="355D261D" w:rsidR="006428C9" w:rsidRDefault="006428C9" w:rsidP="006428C9">
      <w:pPr>
        <w:rPr>
          <w:b/>
          <w:bCs/>
          <w:sz w:val="22"/>
          <w:szCs w:val="22"/>
        </w:rPr>
      </w:pPr>
      <w:r>
        <w:rPr>
          <w:b/>
          <w:bCs/>
          <w:sz w:val="22"/>
          <w:szCs w:val="22"/>
        </w:rPr>
        <w:t xml:space="preserve">Proposal </w:t>
      </w:r>
      <w:r w:rsidR="00F46168">
        <w:rPr>
          <w:b/>
          <w:bCs/>
          <w:sz w:val="22"/>
          <w:szCs w:val="22"/>
        </w:rPr>
        <w:t>8</w:t>
      </w:r>
      <w:r>
        <w:rPr>
          <w:b/>
          <w:bCs/>
          <w:sz w:val="22"/>
          <w:szCs w:val="22"/>
        </w:rPr>
        <w:t xml:space="preserve">: The paring ID is used for NW side data collection for performance monitoring configuration and report. </w:t>
      </w:r>
    </w:p>
    <w:p w14:paraId="08B5AB71" w14:textId="77777777" w:rsidR="006428C9" w:rsidRDefault="006428C9" w:rsidP="006428C9">
      <w:pPr>
        <w:rPr>
          <w:b/>
          <w:bCs/>
          <w:sz w:val="22"/>
          <w:szCs w:val="22"/>
        </w:rPr>
      </w:pPr>
    </w:p>
    <w:p w14:paraId="5FE6D906" w14:textId="487BA65C" w:rsidR="00FA6037" w:rsidRDefault="006428C9" w:rsidP="006428C9">
      <w:pPr>
        <w:rPr>
          <w:b/>
          <w:bCs/>
          <w:sz w:val="22"/>
          <w:szCs w:val="22"/>
        </w:rPr>
      </w:pPr>
      <w:r>
        <w:rPr>
          <w:b/>
          <w:bCs/>
          <w:sz w:val="22"/>
          <w:szCs w:val="22"/>
        </w:rPr>
        <w:t xml:space="preserve">Proposal </w:t>
      </w:r>
      <w:r w:rsidR="00DE322C">
        <w:rPr>
          <w:b/>
          <w:bCs/>
          <w:sz w:val="22"/>
          <w:szCs w:val="22"/>
        </w:rPr>
        <w:t>9</w:t>
      </w:r>
      <w:r>
        <w:rPr>
          <w:b/>
          <w:bCs/>
          <w:sz w:val="22"/>
          <w:szCs w:val="22"/>
        </w:rPr>
        <w:t>: When the paring ID is used for UE side data collection for training, the p</w:t>
      </w:r>
      <w:r w:rsidRPr="00344460">
        <w:rPr>
          <w:b/>
          <w:bCs/>
          <w:sz w:val="22"/>
          <w:szCs w:val="22"/>
        </w:rPr>
        <w:t xml:space="preserve">airing ID is configured together with </w:t>
      </w:r>
      <w:proofErr w:type="spellStart"/>
      <w:r w:rsidRPr="00207D3A">
        <w:rPr>
          <w:b/>
          <w:bCs/>
          <w:i/>
          <w:iCs/>
          <w:sz w:val="22"/>
          <w:szCs w:val="22"/>
        </w:rPr>
        <w:t>resource</w:t>
      </w:r>
      <w:r w:rsidR="008D342C">
        <w:rPr>
          <w:b/>
          <w:bCs/>
          <w:i/>
          <w:iCs/>
          <w:sz w:val="22"/>
          <w:szCs w:val="22"/>
        </w:rPr>
        <w:t>s</w:t>
      </w:r>
      <w:r w:rsidRPr="00207D3A">
        <w:rPr>
          <w:b/>
          <w:bCs/>
          <w:i/>
          <w:iCs/>
          <w:sz w:val="22"/>
          <w:szCs w:val="22"/>
        </w:rPr>
        <w:t>ForChannelMeasurement</w:t>
      </w:r>
      <w:proofErr w:type="spellEnd"/>
      <w:r w:rsidR="00BE4244">
        <w:rPr>
          <w:b/>
          <w:bCs/>
          <w:i/>
          <w:iCs/>
          <w:sz w:val="22"/>
          <w:szCs w:val="22"/>
        </w:rPr>
        <w:t xml:space="preserve"> </w:t>
      </w:r>
      <w:r w:rsidR="00BE4244" w:rsidRPr="00A1540C">
        <w:rPr>
          <w:b/>
          <w:bCs/>
          <w:color w:val="000000" w:themeColor="text1"/>
          <w:sz w:val="22"/>
          <w:szCs w:val="22"/>
        </w:rPr>
        <w:t xml:space="preserve">(e.g., part of </w:t>
      </w:r>
      <w:r w:rsidR="00BE4244" w:rsidRPr="00A1540C">
        <w:rPr>
          <w:b/>
          <w:bCs/>
          <w:i/>
          <w:iCs/>
          <w:color w:val="000000" w:themeColor="text1"/>
          <w:sz w:val="22"/>
          <w:szCs w:val="22"/>
        </w:rPr>
        <w:t>CSI-</w:t>
      </w:r>
      <w:proofErr w:type="spellStart"/>
      <w:r w:rsidR="00BE4244" w:rsidRPr="00A1540C">
        <w:rPr>
          <w:b/>
          <w:bCs/>
          <w:i/>
          <w:iCs/>
          <w:color w:val="000000" w:themeColor="text1"/>
          <w:sz w:val="22"/>
          <w:szCs w:val="22"/>
        </w:rPr>
        <w:t>ResourceConfig</w:t>
      </w:r>
      <w:proofErr w:type="spellEnd"/>
      <w:r w:rsidR="00BE4244" w:rsidRPr="00A1540C">
        <w:rPr>
          <w:b/>
          <w:bCs/>
          <w:color w:val="000000" w:themeColor="text1"/>
          <w:sz w:val="22"/>
          <w:szCs w:val="22"/>
        </w:rPr>
        <w:t>)</w:t>
      </w:r>
      <w:r w:rsidRPr="00344460">
        <w:rPr>
          <w:b/>
          <w:bCs/>
          <w:sz w:val="22"/>
          <w:szCs w:val="22"/>
        </w:rPr>
        <w:t>.</w:t>
      </w:r>
    </w:p>
    <w:p w14:paraId="3C6EDB82" w14:textId="77777777" w:rsidR="00FA6037" w:rsidRDefault="00FA6037" w:rsidP="006428C9">
      <w:pPr>
        <w:rPr>
          <w:b/>
          <w:bCs/>
          <w:sz w:val="22"/>
          <w:szCs w:val="22"/>
        </w:rPr>
      </w:pPr>
    </w:p>
    <w:p w14:paraId="465EF8EA" w14:textId="4FC158C2" w:rsidR="00C332F3" w:rsidRPr="00182D22" w:rsidRDefault="00C332F3" w:rsidP="00C332F3">
      <w:pPr>
        <w:rPr>
          <w:b/>
          <w:bCs/>
          <w:color w:val="000000"/>
          <w:sz w:val="22"/>
          <w:szCs w:val="22"/>
        </w:rPr>
      </w:pPr>
      <w:r>
        <w:rPr>
          <w:b/>
          <w:bCs/>
          <w:sz w:val="22"/>
          <w:szCs w:val="22"/>
        </w:rPr>
        <w:t xml:space="preserve">Proposal </w:t>
      </w:r>
      <w:r w:rsidR="00606591">
        <w:rPr>
          <w:b/>
          <w:bCs/>
          <w:sz w:val="22"/>
          <w:szCs w:val="22"/>
        </w:rPr>
        <w:t>10</w:t>
      </w:r>
      <w:r>
        <w:rPr>
          <w:b/>
          <w:bCs/>
          <w:sz w:val="22"/>
          <w:szCs w:val="22"/>
        </w:rPr>
        <w:t xml:space="preserve">: </w:t>
      </w:r>
      <w:r>
        <w:rPr>
          <w:b/>
          <w:bCs/>
          <w:color w:val="000000"/>
          <w:sz w:val="22"/>
          <w:szCs w:val="22"/>
        </w:rPr>
        <w:t>For model pairing procedure for inference, if</w:t>
      </w:r>
      <w:r>
        <w:rPr>
          <w:rStyle w:val="apple-converted-space"/>
          <w:b/>
          <w:bCs/>
          <w:color w:val="000000"/>
          <w:sz w:val="22"/>
          <w:szCs w:val="22"/>
        </w:rPr>
        <w:t> </w:t>
      </w:r>
      <w:r>
        <w:rPr>
          <w:b/>
          <w:bCs/>
          <w:color w:val="000000"/>
          <w:sz w:val="22"/>
          <w:szCs w:val="22"/>
        </w:rPr>
        <w:t>different paring ID is used for different dataset and NW uses a mixing of datasets for NW side model training with</w:t>
      </w:r>
      <w:r>
        <w:rPr>
          <w:rStyle w:val="apple-converted-space"/>
          <w:b/>
          <w:bCs/>
          <w:color w:val="000000"/>
          <w:sz w:val="22"/>
          <w:szCs w:val="22"/>
        </w:rPr>
        <w:t> </w:t>
      </w:r>
      <w:r>
        <w:rPr>
          <w:b/>
          <w:bCs/>
          <w:color w:val="000000"/>
          <w:sz w:val="22"/>
          <w:szCs w:val="22"/>
        </w:rPr>
        <w:t>continuous learning:</w:t>
      </w:r>
    </w:p>
    <w:p w14:paraId="447FFCDA" w14:textId="655FAF61" w:rsidR="00C332F3" w:rsidRPr="00182D22" w:rsidRDefault="004A3838" w:rsidP="00C332F3">
      <w:pPr>
        <w:pStyle w:val="ListParagraph"/>
        <w:numPr>
          <w:ilvl w:val="0"/>
          <w:numId w:val="70"/>
        </w:numPr>
        <w:ind w:leftChars="0"/>
        <w:rPr>
          <w:rFonts w:ascii="Times New Roman" w:hAnsi="Times New Roman"/>
          <w:color w:val="000000"/>
          <w:szCs w:val="20"/>
        </w:rPr>
      </w:pPr>
      <w:r>
        <w:rPr>
          <w:rFonts w:ascii="Times New Roman" w:hAnsi="Times New Roman"/>
          <w:b/>
          <w:bCs/>
          <w:color w:val="000000"/>
          <w:sz w:val="22"/>
          <w:szCs w:val="22"/>
        </w:rPr>
        <w:t>A</w:t>
      </w:r>
      <w:r w:rsidR="00C332F3" w:rsidRPr="00182D22">
        <w:rPr>
          <w:rFonts w:ascii="Times New Roman" w:hAnsi="Times New Roman"/>
          <w:b/>
          <w:bCs/>
          <w:color w:val="000000"/>
          <w:sz w:val="22"/>
          <w:szCs w:val="22"/>
        </w:rPr>
        <w:t xml:space="preserve"> </w:t>
      </w:r>
      <w:r w:rsidR="00C332F3">
        <w:rPr>
          <w:rFonts w:ascii="Times New Roman" w:hAnsi="Times New Roman"/>
          <w:b/>
          <w:bCs/>
          <w:color w:val="000000"/>
          <w:sz w:val="22"/>
          <w:szCs w:val="22"/>
        </w:rPr>
        <w:t>pairing</w:t>
      </w:r>
      <w:r w:rsidR="00C332F3" w:rsidRPr="00182D22">
        <w:rPr>
          <w:rFonts w:ascii="Times New Roman" w:hAnsi="Times New Roman"/>
          <w:b/>
          <w:bCs/>
          <w:color w:val="000000"/>
          <w:sz w:val="22"/>
          <w:szCs w:val="22"/>
        </w:rPr>
        <w:t xml:space="preserve"> ID list is used in inference configuration as part of </w:t>
      </w:r>
      <w:r w:rsidR="00C332F3">
        <w:rPr>
          <w:rFonts w:ascii="Times New Roman" w:hAnsi="Times New Roman"/>
          <w:b/>
          <w:bCs/>
          <w:color w:val="000000"/>
          <w:sz w:val="22"/>
          <w:szCs w:val="22"/>
        </w:rPr>
        <w:t xml:space="preserve">the </w:t>
      </w:r>
      <w:r w:rsidR="00C332F3" w:rsidRPr="00182D22">
        <w:rPr>
          <w:rFonts w:ascii="Times New Roman" w:hAnsi="Times New Roman"/>
          <w:b/>
          <w:bCs/>
          <w:color w:val="000000"/>
          <w:sz w:val="22"/>
          <w:szCs w:val="22"/>
        </w:rPr>
        <w:t>applicability reporting procedure</w:t>
      </w:r>
      <w:r w:rsidR="00C332F3">
        <w:rPr>
          <w:rFonts w:ascii="Times New Roman" w:hAnsi="Times New Roman"/>
          <w:b/>
          <w:bCs/>
          <w:color w:val="000000"/>
          <w:sz w:val="22"/>
          <w:szCs w:val="22"/>
        </w:rPr>
        <w:t>; and</w:t>
      </w:r>
      <w:r w:rsidR="00C332F3" w:rsidRPr="00182D22">
        <w:rPr>
          <w:rFonts w:ascii="Times New Roman" w:hAnsi="Times New Roman"/>
          <w:b/>
          <w:bCs/>
          <w:color w:val="000000"/>
          <w:sz w:val="22"/>
          <w:szCs w:val="22"/>
        </w:rPr>
        <w:t> </w:t>
      </w:r>
    </w:p>
    <w:p w14:paraId="7D141AD9" w14:textId="77777777" w:rsidR="00C332F3" w:rsidRPr="006F2614" w:rsidRDefault="00C332F3" w:rsidP="00C332F3">
      <w:pPr>
        <w:pStyle w:val="ListParagraph"/>
        <w:numPr>
          <w:ilvl w:val="0"/>
          <w:numId w:val="70"/>
        </w:numPr>
        <w:ind w:leftChars="0"/>
        <w:rPr>
          <w:rFonts w:ascii="Times New Roman" w:hAnsi="Times New Roman"/>
          <w:color w:val="000000"/>
          <w:szCs w:val="20"/>
        </w:rPr>
      </w:pPr>
      <w:r w:rsidRPr="00182D22">
        <w:rPr>
          <w:rFonts w:ascii="Times New Roman" w:hAnsi="Times New Roman"/>
          <w:b/>
          <w:bCs/>
          <w:color w:val="000000"/>
          <w:sz w:val="22"/>
          <w:szCs w:val="22"/>
        </w:rPr>
        <w:t xml:space="preserve">UE will report applicable if one of </w:t>
      </w:r>
      <w:r>
        <w:rPr>
          <w:rFonts w:ascii="Times New Roman" w:hAnsi="Times New Roman"/>
          <w:b/>
          <w:bCs/>
          <w:color w:val="000000"/>
          <w:sz w:val="22"/>
          <w:szCs w:val="22"/>
        </w:rPr>
        <w:t>its</w:t>
      </w:r>
      <w:r w:rsidRPr="00182D22">
        <w:rPr>
          <w:rFonts w:ascii="Times New Roman" w:hAnsi="Times New Roman"/>
          <w:b/>
          <w:bCs/>
          <w:color w:val="000000"/>
          <w:sz w:val="22"/>
          <w:szCs w:val="22"/>
        </w:rPr>
        <w:t xml:space="preserv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w:t>
      </w:r>
      <w:r>
        <w:rPr>
          <w:rFonts w:ascii="Times New Roman" w:hAnsi="Times New Roman"/>
          <w:b/>
          <w:bCs/>
          <w:color w:val="000000"/>
          <w:sz w:val="22"/>
          <w:szCs w:val="22"/>
        </w:rPr>
        <w:t>s</w:t>
      </w:r>
      <w:r w:rsidRPr="00182D22">
        <w:rPr>
          <w:rFonts w:ascii="Times New Roman" w:hAnsi="Times New Roman"/>
          <w:b/>
          <w:bCs/>
          <w:color w:val="000000"/>
          <w:sz w:val="22"/>
          <w:szCs w:val="22"/>
        </w:rPr>
        <w:t xml:space="preserve"> matches within the </w:t>
      </w:r>
      <w:r>
        <w:rPr>
          <w:rFonts w:ascii="Times New Roman" w:hAnsi="Times New Roman"/>
          <w:b/>
          <w:bCs/>
          <w:color w:val="000000"/>
          <w:sz w:val="22"/>
          <w:szCs w:val="22"/>
        </w:rPr>
        <w:t>pairing</w:t>
      </w:r>
      <w:r w:rsidRPr="00182D22">
        <w:rPr>
          <w:rFonts w:ascii="Times New Roman" w:hAnsi="Times New Roman"/>
          <w:b/>
          <w:bCs/>
          <w:color w:val="000000"/>
          <w:sz w:val="22"/>
          <w:szCs w:val="22"/>
        </w:rPr>
        <w:t xml:space="preserve"> ID list. </w:t>
      </w:r>
    </w:p>
    <w:p w14:paraId="3C7EBD42" w14:textId="47F9278B" w:rsidR="006428C9" w:rsidRDefault="006428C9" w:rsidP="006428C9">
      <w:pPr>
        <w:rPr>
          <w:b/>
          <w:bCs/>
          <w:sz w:val="22"/>
          <w:szCs w:val="22"/>
        </w:rPr>
      </w:pPr>
      <w:r>
        <w:rPr>
          <w:b/>
          <w:bCs/>
          <w:sz w:val="22"/>
          <w:szCs w:val="22"/>
        </w:rPr>
        <w:t xml:space="preserve"> </w:t>
      </w:r>
    </w:p>
    <w:p w14:paraId="6DC56A59" w14:textId="77777777" w:rsidR="00E1410C" w:rsidRDefault="00000000">
      <w:pPr>
        <w:pStyle w:val="Heading1"/>
      </w:pPr>
      <w:r>
        <w:t xml:space="preserve">Reference </w:t>
      </w:r>
    </w:p>
    <w:p w14:paraId="289351BC" w14:textId="62E9CD9A" w:rsidR="00FA36BA" w:rsidRDefault="005A3F36" w:rsidP="00B64286">
      <w:pPr>
        <w:pStyle w:val="0Maintext"/>
        <w:numPr>
          <w:ilvl w:val="0"/>
          <w:numId w:val="65"/>
        </w:numPr>
        <w:spacing w:after="120" w:afterAutospacing="0" w:line="240" w:lineRule="auto"/>
        <w:rPr>
          <w:bCs/>
          <w:sz w:val="22"/>
          <w:szCs w:val="22"/>
          <w:lang w:val="en-US"/>
        </w:rPr>
      </w:pPr>
      <w:bookmarkStart w:id="5" w:name="_Ref209520741"/>
      <w:r w:rsidRPr="0048664D">
        <w:rPr>
          <w:sz w:val="22"/>
          <w:szCs w:val="22"/>
          <w:lang w:val="en-US"/>
        </w:rPr>
        <w:t>RP-</w:t>
      </w:r>
      <w:r w:rsidR="006F401A">
        <w:rPr>
          <w:sz w:val="22"/>
          <w:szCs w:val="22"/>
          <w:lang w:val="en-US"/>
        </w:rPr>
        <w:t>2518</w:t>
      </w:r>
      <w:r w:rsidR="00A342E3">
        <w:rPr>
          <w:sz w:val="22"/>
          <w:szCs w:val="22"/>
          <w:lang w:val="en-US"/>
        </w:rPr>
        <w:t>70</w:t>
      </w:r>
      <w:r w:rsidRPr="0048664D">
        <w:rPr>
          <w:sz w:val="22"/>
          <w:szCs w:val="22"/>
          <w:lang w:val="en-US"/>
        </w:rPr>
        <w:t xml:space="preserve">, </w:t>
      </w:r>
      <w:r w:rsidR="00A342E3" w:rsidRPr="00A342E3">
        <w:rPr>
          <w:bCs/>
          <w:sz w:val="22"/>
          <w:szCs w:val="22"/>
          <w:lang w:val="en-US"/>
        </w:rPr>
        <w:t>New WI: Artificial Intelligence (AI)/Machine Learning (ML) for NR air interface enhancements</w:t>
      </w:r>
      <w:bookmarkEnd w:id="5"/>
    </w:p>
    <w:p w14:paraId="3CD1E42F" w14:textId="77777777" w:rsidR="00565607" w:rsidRPr="00F01402" w:rsidRDefault="00565607" w:rsidP="00565607">
      <w:pPr>
        <w:pStyle w:val="0Maintext"/>
        <w:numPr>
          <w:ilvl w:val="0"/>
          <w:numId w:val="65"/>
        </w:numPr>
        <w:spacing w:after="120" w:afterAutospacing="0" w:line="240" w:lineRule="auto"/>
        <w:rPr>
          <w:bCs/>
          <w:sz w:val="22"/>
          <w:szCs w:val="22"/>
          <w:lang w:val="en-US" w:eastAsia="zh-CN"/>
        </w:rPr>
      </w:pPr>
      <w:bookmarkStart w:id="6" w:name="_Ref212638364"/>
      <w:bookmarkStart w:id="7" w:name="_Ref209528824"/>
      <w:bookmarkStart w:id="8" w:name="_Ref209520982"/>
      <w:r w:rsidRPr="004B1DA2">
        <w:rPr>
          <w:bCs/>
          <w:sz w:val="22"/>
          <w:szCs w:val="22"/>
          <w:lang w:val="en-US" w:eastAsia="zh-CN"/>
        </w:rPr>
        <w:t>Chair notes RAN1#122b eom3</w:t>
      </w:r>
      <w:r>
        <w:rPr>
          <w:bCs/>
          <w:sz w:val="22"/>
          <w:szCs w:val="22"/>
          <w:lang w:val="en-US" w:eastAsia="zh-CN"/>
        </w:rPr>
        <w:t>, RAN1 chairman</w:t>
      </w:r>
      <w:bookmarkEnd w:id="6"/>
    </w:p>
    <w:p w14:paraId="0B9B846C" w14:textId="4CEC12D5" w:rsidR="00B64286" w:rsidRPr="005273B1" w:rsidRDefault="00860EC6" w:rsidP="005273B1">
      <w:pPr>
        <w:pStyle w:val="0Maintext"/>
        <w:numPr>
          <w:ilvl w:val="0"/>
          <w:numId w:val="65"/>
        </w:numPr>
        <w:spacing w:after="120" w:afterAutospacing="0" w:line="240" w:lineRule="auto"/>
        <w:rPr>
          <w:sz w:val="22"/>
          <w:szCs w:val="22"/>
          <w:lang w:val="en-US"/>
        </w:rPr>
      </w:pPr>
      <w:bookmarkStart w:id="9" w:name="_Ref209529014"/>
      <w:bookmarkEnd w:id="7"/>
      <w:r w:rsidRPr="00860EC6">
        <w:rPr>
          <w:sz w:val="22"/>
          <w:szCs w:val="22"/>
          <w:lang w:val="en-US"/>
        </w:rPr>
        <w:t>3GPP TR 38.901</w:t>
      </w:r>
      <w:r>
        <w:rPr>
          <w:sz w:val="22"/>
          <w:szCs w:val="22"/>
          <w:lang w:val="en-US"/>
        </w:rPr>
        <w:t xml:space="preserve"> v19.0.0</w:t>
      </w:r>
      <w:r w:rsidRPr="00860EC6">
        <w:rPr>
          <w:sz w:val="22"/>
          <w:szCs w:val="22"/>
          <w:lang w:val="en-US"/>
        </w:rPr>
        <w:t xml:space="preserve">, </w:t>
      </w:r>
      <w:r w:rsidRPr="00870BC2">
        <w:rPr>
          <w:sz w:val="22"/>
          <w:szCs w:val="22"/>
          <w:lang w:val="en-US"/>
        </w:rPr>
        <w:t>Study on channel model for frequencies from 0.5 to 100 GHz</w:t>
      </w:r>
      <w:bookmarkEnd w:id="8"/>
      <w:bookmarkEnd w:id="9"/>
    </w:p>
    <w:sectPr w:rsidR="00B64286" w:rsidRPr="005273B1">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AD7884BA"/>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A6FC7"/>
    <w:multiLevelType w:val="hybridMultilevel"/>
    <w:tmpl w:val="0E4CE7E4"/>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EC43AD"/>
    <w:multiLevelType w:val="hybridMultilevel"/>
    <w:tmpl w:val="0E4CE7E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2A1AA4"/>
    <w:multiLevelType w:val="hybridMultilevel"/>
    <w:tmpl w:val="60DEB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7"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6D6883"/>
    <w:multiLevelType w:val="multilevel"/>
    <w:tmpl w:val="69BCC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35217FCB"/>
    <w:multiLevelType w:val="hybridMultilevel"/>
    <w:tmpl w:val="C2C0B7D2"/>
    <w:lvl w:ilvl="0" w:tplc="04090001">
      <w:start w:val="1"/>
      <w:numFmt w:val="bullet"/>
      <w:lvlText w:val=""/>
      <w:lvlJc w:val="left"/>
      <w:pPr>
        <w:ind w:left="1680" w:hanging="360"/>
      </w:pPr>
      <w:rPr>
        <w:rFonts w:ascii="Symbol" w:hAnsi="Symbol" w:hint="default"/>
      </w:rPr>
    </w:lvl>
    <w:lvl w:ilvl="1" w:tplc="04090003" w:tentative="1">
      <w:start w:val="1"/>
      <w:numFmt w:val="bullet"/>
      <w:lvlText w:val="o"/>
      <w:lvlJc w:val="left"/>
      <w:pPr>
        <w:ind w:left="2400" w:hanging="360"/>
      </w:pPr>
      <w:rPr>
        <w:rFonts w:ascii="Courier New" w:hAnsi="Courier New" w:cs="Courier New" w:hint="default"/>
      </w:rPr>
    </w:lvl>
    <w:lvl w:ilvl="2" w:tplc="04090005" w:tentative="1">
      <w:start w:val="1"/>
      <w:numFmt w:val="bullet"/>
      <w:lvlText w:val=""/>
      <w:lvlJc w:val="left"/>
      <w:pPr>
        <w:ind w:left="3120" w:hanging="360"/>
      </w:pPr>
      <w:rPr>
        <w:rFonts w:ascii="Wingdings" w:hAnsi="Wingdings" w:hint="default"/>
      </w:rPr>
    </w:lvl>
    <w:lvl w:ilvl="3" w:tplc="04090001" w:tentative="1">
      <w:start w:val="1"/>
      <w:numFmt w:val="bullet"/>
      <w:lvlText w:val=""/>
      <w:lvlJc w:val="left"/>
      <w:pPr>
        <w:ind w:left="3840" w:hanging="360"/>
      </w:pPr>
      <w:rPr>
        <w:rFonts w:ascii="Symbol" w:hAnsi="Symbol" w:hint="default"/>
      </w:rPr>
    </w:lvl>
    <w:lvl w:ilvl="4" w:tplc="04090003" w:tentative="1">
      <w:start w:val="1"/>
      <w:numFmt w:val="bullet"/>
      <w:lvlText w:val="o"/>
      <w:lvlJc w:val="left"/>
      <w:pPr>
        <w:ind w:left="4560" w:hanging="360"/>
      </w:pPr>
      <w:rPr>
        <w:rFonts w:ascii="Courier New" w:hAnsi="Courier New" w:cs="Courier New" w:hint="default"/>
      </w:rPr>
    </w:lvl>
    <w:lvl w:ilvl="5" w:tplc="04090005" w:tentative="1">
      <w:start w:val="1"/>
      <w:numFmt w:val="bullet"/>
      <w:lvlText w:val=""/>
      <w:lvlJc w:val="left"/>
      <w:pPr>
        <w:ind w:left="5280" w:hanging="360"/>
      </w:pPr>
      <w:rPr>
        <w:rFonts w:ascii="Wingdings" w:hAnsi="Wingdings" w:hint="default"/>
      </w:rPr>
    </w:lvl>
    <w:lvl w:ilvl="6" w:tplc="04090001" w:tentative="1">
      <w:start w:val="1"/>
      <w:numFmt w:val="bullet"/>
      <w:lvlText w:val=""/>
      <w:lvlJc w:val="left"/>
      <w:pPr>
        <w:ind w:left="6000" w:hanging="360"/>
      </w:pPr>
      <w:rPr>
        <w:rFonts w:ascii="Symbol" w:hAnsi="Symbol" w:hint="default"/>
      </w:rPr>
    </w:lvl>
    <w:lvl w:ilvl="7" w:tplc="04090003" w:tentative="1">
      <w:start w:val="1"/>
      <w:numFmt w:val="bullet"/>
      <w:lvlText w:val="o"/>
      <w:lvlJc w:val="left"/>
      <w:pPr>
        <w:ind w:left="6720" w:hanging="360"/>
      </w:pPr>
      <w:rPr>
        <w:rFonts w:ascii="Courier New" w:hAnsi="Courier New" w:cs="Courier New" w:hint="default"/>
      </w:rPr>
    </w:lvl>
    <w:lvl w:ilvl="8" w:tplc="04090005" w:tentative="1">
      <w:start w:val="1"/>
      <w:numFmt w:val="bullet"/>
      <w:lvlText w:val=""/>
      <w:lvlJc w:val="left"/>
      <w:pPr>
        <w:ind w:left="7440" w:hanging="360"/>
      </w:pPr>
      <w:rPr>
        <w:rFonts w:ascii="Wingdings" w:hAnsi="Wingdings" w:hint="default"/>
      </w:rPr>
    </w:lvl>
  </w:abstractNum>
  <w:abstractNum w:abstractNumId="26"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36EA6FAB"/>
    <w:multiLevelType w:val="hybridMultilevel"/>
    <w:tmpl w:val="73C0EB66"/>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4743D9"/>
    <w:multiLevelType w:val="hybridMultilevel"/>
    <w:tmpl w:val="115E8010"/>
    <w:lvl w:ilvl="0" w:tplc="8DC4235C">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1" w15:restartNumberingAfterBreak="0">
    <w:nsid w:val="42B85325"/>
    <w:multiLevelType w:val="hybridMultilevel"/>
    <w:tmpl w:val="FA1800F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2" w15:restartNumberingAfterBreak="0">
    <w:nsid w:val="45034BDC"/>
    <w:multiLevelType w:val="multilevel"/>
    <w:tmpl w:val="E4C4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7"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F3B3F33"/>
    <w:multiLevelType w:val="multilevel"/>
    <w:tmpl w:val="4F3B3F3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515B55D5"/>
    <w:multiLevelType w:val="hybridMultilevel"/>
    <w:tmpl w:val="01BAB338"/>
    <w:lvl w:ilvl="0" w:tplc="10000011">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1"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A6C2011"/>
    <w:multiLevelType w:val="multilevel"/>
    <w:tmpl w:val="5A6C201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14A2A5A"/>
    <w:multiLevelType w:val="hybridMultilevel"/>
    <w:tmpl w:val="E7487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6"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58"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60"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0"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44"/>
  </w:num>
  <w:num w:numId="4" w16cid:durableId="1500922045">
    <w:abstractNumId w:val="58"/>
  </w:num>
  <w:num w:numId="5" w16cid:durableId="402070213">
    <w:abstractNumId w:val="63"/>
  </w:num>
  <w:num w:numId="6" w16cid:durableId="1249382853">
    <w:abstractNumId w:val="59"/>
  </w:num>
  <w:num w:numId="7" w16cid:durableId="1937329399">
    <w:abstractNumId w:val="61"/>
  </w:num>
  <w:num w:numId="8" w16cid:durableId="97070147">
    <w:abstractNumId w:val="29"/>
  </w:num>
  <w:num w:numId="9" w16cid:durableId="341511140">
    <w:abstractNumId w:val="65"/>
  </w:num>
  <w:num w:numId="10" w16cid:durableId="1198738198">
    <w:abstractNumId w:val="70"/>
  </w:num>
  <w:num w:numId="11" w16cid:durableId="899245401">
    <w:abstractNumId w:val="49"/>
  </w:num>
  <w:num w:numId="12" w16cid:durableId="968122515">
    <w:abstractNumId w:val="42"/>
  </w:num>
  <w:num w:numId="13" w16cid:durableId="1118185810">
    <w:abstractNumId w:val="6"/>
  </w:num>
  <w:num w:numId="14" w16cid:durableId="65691594">
    <w:abstractNumId w:val="9"/>
  </w:num>
  <w:num w:numId="15" w16cid:durableId="740179988">
    <w:abstractNumId w:val="68"/>
  </w:num>
  <w:num w:numId="16" w16cid:durableId="1148547661">
    <w:abstractNumId w:val="34"/>
  </w:num>
  <w:num w:numId="17" w16cid:durableId="1821115802">
    <w:abstractNumId w:val="41"/>
  </w:num>
  <w:num w:numId="18" w16cid:durableId="1736276848">
    <w:abstractNumId w:val="20"/>
  </w:num>
  <w:num w:numId="19" w16cid:durableId="756249442">
    <w:abstractNumId w:val="1"/>
  </w:num>
  <w:num w:numId="20" w16cid:durableId="1708987211">
    <w:abstractNumId w:val="19"/>
  </w:num>
  <w:num w:numId="21" w16cid:durableId="726226496">
    <w:abstractNumId w:val="38"/>
  </w:num>
  <w:num w:numId="22" w16cid:durableId="1044328813">
    <w:abstractNumId w:val="62"/>
  </w:num>
  <w:num w:numId="23" w16cid:durableId="305470919">
    <w:abstractNumId w:val="46"/>
  </w:num>
  <w:num w:numId="24" w16cid:durableId="1124081522">
    <w:abstractNumId w:val="17"/>
  </w:num>
  <w:num w:numId="25" w16cid:durableId="2131393897">
    <w:abstractNumId w:val="5"/>
  </w:num>
  <w:num w:numId="26" w16cid:durableId="62990998">
    <w:abstractNumId w:val="43"/>
  </w:num>
  <w:num w:numId="27" w16cid:durableId="1395933402">
    <w:abstractNumId w:val="16"/>
  </w:num>
  <w:num w:numId="28" w16cid:durableId="1763911173">
    <w:abstractNumId w:val="33"/>
  </w:num>
  <w:num w:numId="29" w16cid:durableId="1938900649">
    <w:abstractNumId w:val="36"/>
  </w:num>
  <w:num w:numId="30" w16cid:durableId="1623144957">
    <w:abstractNumId w:val="56"/>
  </w:num>
  <w:num w:numId="31" w16cid:durableId="1322855650">
    <w:abstractNumId w:val="24"/>
  </w:num>
  <w:num w:numId="32" w16cid:durableId="1741901486">
    <w:abstractNumId w:val="23"/>
  </w:num>
  <w:num w:numId="33" w16cid:durableId="16851234">
    <w:abstractNumId w:val="37"/>
  </w:num>
  <w:num w:numId="34" w16cid:durableId="1223980657">
    <w:abstractNumId w:val="15"/>
  </w:num>
  <w:num w:numId="35" w16cid:durableId="1786805069">
    <w:abstractNumId w:val="4"/>
  </w:num>
  <w:num w:numId="36" w16cid:durableId="2014841231">
    <w:abstractNumId w:val="7"/>
  </w:num>
  <w:num w:numId="37" w16cid:durableId="279842072">
    <w:abstractNumId w:val="57"/>
  </w:num>
  <w:num w:numId="38" w16cid:durableId="30157663">
    <w:abstractNumId w:val="8"/>
  </w:num>
  <w:num w:numId="39" w16cid:durableId="1975020833">
    <w:abstractNumId w:val="54"/>
  </w:num>
  <w:num w:numId="40" w16cid:durableId="381178554">
    <w:abstractNumId w:val="35"/>
  </w:num>
  <w:num w:numId="41" w16cid:durableId="2124416032">
    <w:abstractNumId w:val="66"/>
  </w:num>
  <w:num w:numId="42" w16cid:durableId="1318420277">
    <w:abstractNumId w:val="55"/>
  </w:num>
  <w:num w:numId="43" w16cid:durableId="1356535984">
    <w:abstractNumId w:val="30"/>
  </w:num>
  <w:num w:numId="44" w16cid:durableId="864295277">
    <w:abstractNumId w:val="18"/>
  </w:num>
  <w:num w:numId="45" w16cid:durableId="1083993812">
    <w:abstractNumId w:val="69"/>
  </w:num>
  <w:num w:numId="46" w16cid:durableId="790974927">
    <w:abstractNumId w:val="67"/>
  </w:num>
  <w:num w:numId="47" w16cid:durableId="2021349013">
    <w:abstractNumId w:val="60"/>
  </w:num>
  <w:num w:numId="48" w16cid:durableId="468137430">
    <w:abstractNumId w:val="13"/>
  </w:num>
  <w:num w:numId="49" w16cid:durableId="1878007893">
    <w:abstractNumId w:val="48"/>
  </w:num>
  <w:num w:numId="50" w16cid:durableId="624653603">
    <w:abstractNumId w:val="11"/>
  </w:num>
  <w:num w:numId="51" w16cid:durableId="1515420346">
    <w:abstractNumId w:val="2"/>
  </w:num>
  <w:num w:numId="52" w16cid:durableId="2087459430">
    <w:abstractNumId w:val="53"/>
  </w:num>
  <w:num w:numId="53" w16cid:durableId="163613">
    <w:abstractNumId w:val="45"/>
  </w:num>
  <w:num w:numId="54" w16cid:durableId="358511164">
    <w:abstractNumId w:val="21"/>
  </w:num>
  <w:num w:numId="55" w16cid:durableId="1758941740">
    <w:abstractNumId w:val="52"/>
  </w:num>
  <w:num w:numId="56" w16cid:durableId="704015632">
    <w:abstractNumId w:val="39"/>
  </w:num>
  <w:num w:numId="57" w16cid:durableId="755245949">
    <w:abstractNumId w:val="14"/>
  </w:num>
  <w:num w:numId="58" w16cid:durableId="437333478">
    <w:abstractNumId w:val="47"/>
  </w:num>
  <w:num w:numId="59" w16cid:durableId="1853758282">
    <w:abstractNumId w:val="51"/>
  </w:num>
  <w:num w:numId="60" w16cid:durableId="1103184102">
    <w:abstractNumId w:val="26"/>
  </w:num>
  <w:num w:numId="61" w16cid:durableId="2041852819">
    <w:abstractNumId w:val="32"/>
  </w:num>
  <w:num w:numId="62" w16cid:durableId="1106728152">
    <w:abstractNumId w:val="22"/>
  </w:num>
  <w:num w:numId="63" w16cid:durableId="1263682529">
    <w:abstractNumId w:val="31"/>
  </w:num>
  <w:num w:numId="64" w16cid:durableId="1199322227">
    <w:abstractNumId w:val="64"/>
  </w:num>
  <w:num w:numId="65" w16cid:durableId="461845897">
    <w:abstractNumId w:val="10"/>
  </w:num>
  <w:num w:numId="66" w16cid:durableId="399209963">
    <w:abstractNumId w:val="40"/>
  </w:num>
  <w:num w:numId="67" w16cid:durableId="1944802953">
    <w:abstractNumId w:val="12"/>
  </w:num>
  <w:num w:numId="68" w16cid:durableId="2105683262">
    <w:abstractNumId w:val="50"/>
  </w:num>
  <w:num w:numId="69" w16cid:durableId="125782795">
    <w:abstractNumId w:val="25"/>
  </w:num>
  <w:num w:numId="70" w16cid:durableId="2087141142">
    <w:abstractNumId w:val="27"/>
  </w:num>
  <w:num w:numId="71" w16cid:durableId="18771739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2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B66"/>
    <w:rsid w:val="00003990"/>
    <w:rsid w:val="00003BF3"/>
    <w:rsid w:val="000070F3"/>
    <w:rsid w:val="000116DC"/>
    <w:rsid w:val="000159EB"/>
    <w:rsid w:val="00017B94"/>
    <w:rsid w:val="00017E93"/>
    <w:rsid w:val="000212EC"/>
    <w:rsid w:val="000241E5"/>
    <w:rsid w:val="00024696"/>
    <w:rsid w:val="0003054B"/>
    <w:rsid w:val="00031D27"/>
    <w:rsid w:val="00031E68"/>
    <w:rsid w:val="00031F7A"/>
    <w:rsid w:val="000321B8"/>
    <w:rsid w:val="00034DA9"/>
    <w:rsid w:val="000354D1"/>
    <w:rsid w:val="00035913"/>
    <w:rsid w:val="00035D3E"/>
    <w:rsid w:val="00036DC1"/>
    <w:rsid w:val="00037E22"/>
    <w:rsid w:val="00041988"/>
    <w:rsid w:val="00042D5F"/>
    <w:rsid w:val="00044CC2"/>
    <w:rsid w:val="00046585"/>
    <w:rsid w:val="00050630"/>
    <w:rsid w:val="00050D4A"/>
    <w:rsid w:val="000525B5"/>
    <w:rsid w:val="000531E2"/>
    <w:rsid w:val="00053536"/>
    <w:rsid w:val="00055D16"/>
    <w:rsid w:val="00055F76"/>
    <w:rsid w:val="0005612B"/>
    <w:rsid w:val="000605BB"/>
    <w:rsid w:val="00060A07"/>
    <w:rsid w:val="000619F2"/>
    <w:rsid w:val="00062AD2"/>
    <w:rsid w:val="00066866"/>
    <w:rsid w:val="0006765A"/>
    <w:rsid w:val="000714A2"/>
    <w:rsid w:val="00071EA8"/>
    <w:rsid w:val="00073AB2"/>
    <w:rsid w:val="0007732F"/>
    <w:rsid w:val="00077851"/>
    <w:rsid w:val="00085223"/>
    <w:rsid w:val="000939AE"/>
    <w:rsid w:val="000944F3"/>
    <w:rsid w:val="000A1890"/>
    <w:rsid w:val="000A5ABF"/>
    <w:rsid w:val="000B26C9"/>
    <w:rsid w:val="000B3E13"/>
    <w:rsid w:val="000D0B8C"/>
    <w:rsid w:val="000D0F78"/>
    <w:rsid w:val="000D1716"/>
    <w:rsid w:val="000D249C"/>
    <w:rsid w:val="000D2660"/>
    <w:rsid w:val="000D36CE"/>
    <w:rsid w:val="000D57FF"/>
    <w:rsid w:val="000E00F7"/>
    <w:rsid w:val="000E10FE"/>
    <w:rsid w:val="000E4793"/>
    <w:rsid w:val="000E5050"/>
    <w:rsid w:val="000E71B3"/>
    <w:rsid w:val="000E7563"/>
    <w:rsid w:val="000E7DB1"/>
    <w:rsid w:val="000F03A1"/>
    <w:rsid w:val="000F2C70"/>
    <w:rsid w:val="00100BE4"/>
    <w:rsid w:val="0010269A"/>
    <w:rsid w:val="00102E05"/>
    <w:rsid w:val="001032CE"/>
    <w:rsid w:val="00103310"/>
    <w:rsid w:val="0010526F"/>
    <w:rsid w:val="00105285"/>
    <w:rsid w:val="00106933"/>
    <w:rsid w:val="0010770A"/>
    <w:rsid w:val="00116DEB"/>
    <w:rsid w:val="0012163E"/>
    <w:rsid w:val="00122769"/>
    <w:rsid w:val="00123D0A"/>
    <w:rsid w:val="00126945"/>
    <w:rsid w:val="00126CE9"/>
    <w:rsid w:val="00127219"/>
    <w:rsid w:val="0013108B"/>
    <w:rsid w:val="00132078"/>
    <w:rsid w:val="00132404"/>
    <w:rsid w:val="001360F7"/>
    <w:rsid w:val="001363B0"/>
    <w:rsid w:val="00136FAC"/>
    <w:rsid w:val="00140849"/>
    <w:rsid w:val="00141B97"/>
    <w:rsid w:val="00142822"/>
    <w:rsid w:val="00144015"/>
    <w:rsid w:val="0014691C"/>
    <w:rsid w:val="00147003"/>
    <w:rsid w:val="001511AC"/>
    <w:rsid w:val="0015236E"/>
    <w:rsid w:val="001526ED"/>
    <w:rsid w:val="00153773"/>
    <w:rsid w:val="0015426E"/>
    <w:rsid w:val="00155DCE"/>
    <w:rsid w:val="00160149"/>
    <w:rsid w:val="001602B6"/>
    <w:rsid w:val="00160D75"/>
    <w:rsid w:val="00161E92"/>
    <w:rsid w:val="00162C20"/>
    <w:rsid w:val="00165AD3"/>
    <w:rsid w:val="001812F0"/>
    <w:rsid w:val="00181B8D"/>
    <w:rsid w:val="0018214E"/>
    <w:rsid w:val="00182D22"/>
    <w:rsid w:val="0018607A"/>
    <w:rsid w:val="001875F4"/>
    <w:rsid w:val="00193222"/>
    <w:rsid w:val="00193CAC"/>
    <w:rsid w:val="00193EB6"/>
    <w:rsid w:val="00194BBD"/>
    <w:rsid w:val="0019658A"/>
    <w:rsid w:val="0019666E"/>
    <w:rsid w:val="00197A1C"/>
    <w:rsid w:val="001A47D0"/>
    <w:rsid w:val="001A4EDA"/>
    <w:rsid w:val="001A5A42"/>
    <w:rsid w:val="001A5F2D"/>
    <w:rsid w:val="001A61C8"/>
    <w:rsid w:val="001B377D"/>
    <w:rsid w:val="001B53C7"/>
    <w:rsid w:val="001C0BE2"/>
    <w:rsid w:val="001C299A"/>
    <w:rsid w:val="001C4632"/>
    <w:rsid w:val="001C730D"/>
    <w:rsid w:val="001C73C4"/>
    <w:rsid w:val="001D01E2"/>
    <w:rsid w:val="001D091D"/>
    <w:rsid w:val="001D1AEC"/>
    <w:rsid w:val="001D27A7"/>
    <w:rsid w:val="001D4551"/>
    <w:rsid w:val="001E1130"/>
    <w:rsid w:val="001E38F9"/>
    <w:rsid w:val="001E62A2"/>
    <w:rsid w:val="001F0C75"/>
    <w:rsid w:val="001F1442"/>
    <w:rsid w:val="001F144E"/>
    <w:rsid w:val="002006BC"/>
    <w:rsid w:val="00203277"/>
    <w:rsid w:val="00203A0D"/>
    <w:rsid w:val="00206AFD"/>
    <w:rsid w:val="00207D3A"/>
    <w:rsid w:val="0021044D"/>
    <w:rsid w:val="00212EBB"/>
    <w:rsid w:val="002134C9"/>
    <w:rsid w:val="0022221B"/>
    <w:rsid w:val="0022367D"/>
    <w:rsid w:val="00226826"/>
    <w:rsid w:val="00230352"/>
    <w:rsid w:val="00232779"/>
    <w:rsid w:val="00232EDC"/>
    <w:rsid w:val="002330E2"/>
    <w:rsid w:val="002349B9"/>
    <w:rsid w:val="002368AF"/>
    <w:rsid w:val="00237B04"/>
    <w:rsid w:val="00242013"/>
    <w:rsid w:val="002454C7"/>
    <w:rsid w:val="00245D27"/>
    <w:rsid w:val="00247330"/>
    <w:rsid w:val="0025173C"/>
    <w:rsid w:val="00252B41"/>
    <w:rsid w:val="00252BC5"/>
    <w:rsid w:val="00260FB0"/>
    <w:rsid w:val="002661EE"/>
    <w:rsid w:val="0026630E"/>
    <w:rsid w:val="00266E0F"/>
    <w:rsid w:val="0027174D"/>
    <w:rsid w:val="0027181A"/>
    <w:rsid w:val="002740D8"/>
    <w:rsid w:val="00274F27"/>
    <w:rsid w:val="00283945"/>
    <w:rsid w:val="00283CD3"/>
    <w:rsid w:val="00284AB0"/>
    <w:rsid w:val="00285B13"/>
    <w:rsid w:val="00286131"/>
    <w:rsid w:val="002948FF"/>
    <w:rsid w:val="0029576E"/>
    <w:rsid w:val="00295D3C"/>
    <w:rsid w:val="002962DF"/>
    <w:rsid w:val="0029769A"/>
    <w:rsid w:val="00297E2A"/>
    <w:rsid w:val="002A0285"/>
    <w:rsid w:val="002A1A67"/>
    <w:rsid w:val="002A274D"/>
    <w:rsid w:val="002A50CD"/>
    <w:rsid w:val="002A5B21"/>
    <w:rsid w:val="002B0171"/>
    <w:rsid w:val="002B1430"/>
    <w:rsid w:val="002B1739"/>
    <w:rsid w:val="002B2F1C"/>
    <w:rsid w:val="002B72F3"/>
    <w:rsid w:val="002C39B2"/>
    <w:rsid w:val="002C4A0C"/>
    <w:rsid w:val="002C4C61"/>
    <w:rsid w:val="002C4EFD"/>
    <w:rsid w:val="002C5C8D"/>
    <w:rsid w:val="002C7B33"/>
    <w:rsid w:val="002D1192"/>
    <w:rsid w:val="002D2028"/>
    <w:rsid w:val="002D377A"/>
    <w:rsid w:val="002D3C61"/>
    <w:rsid w:val="002D67D6"/>
    <w:rsid w:val="002D7E5D"/>
    <w:rsid w:val="002E02BA"/>
    <w:rsid w:val="002E6F65"/>
    <w:rsid w:val="002E7A89"/>
    <w:rsid w:val="002F31B1"/>
    <w:rsid w:val="002F31FA"/>
    <w:rsid w:val="002F363E"/>
    <w:rsid w:val="002F36AC"/>
    <w:rsid w:val="002F57AA"/>
    <w:rsid w:val="00300243"/>
    <w:rsid w:val="0030554A"/>
    <w:rsid w:val="00306268"/>
    <w:rsid w:val="003105DC"/>
    <w:rsid w:val="00310FC2"/>
    <w:rsid w:val="003123C8"/>
    <w:rsid w:val="00315F36"/>
    <w:rsid w:val="00320127"/>
    <w:rsid w:val="003208A5"/>
    <w:rsid w:val="00324614"/>
    <w:rsid w:val="00324650"/>
    <w:rsid w:val="00324EF2"/>
    <w:rsid w:val="0032627D"/>
    <w:rsid w:val="003262D0"/>
    <w:rsid w:val="00326AED"/>
    <w:rsid w:val="00331577"/>
    <w:rsid w:val="003358BE"/>
    <w:rsid w:val="00340C74"/>
    <w:rsid w:val="00341938"/>
    <w:rsid w:val="0034417B"/>
    <w:rsid w:val="00344460"/>
    <w:rsid w:val="00344AE3"/>
    <w:rsid w:val="00346D86"/>
    <w:rsid w:val="00347021"/>
    <w:rsid w:val="00351207"/>
    <w:rsid w:val="00351743"/>
    <w:rsid w:val="003546F7"/>
    <w:rsid w:val="00354F46"/>
    <w:rsid w:val="00360D3B"/>
    <w:rsid w:val="00361704"/>
    <w:rsid w:val="00361D33"/>
    <w:rsid w:val="00362E29"/>
    <w:rsid w:val="003654D8"/>
    <w:rsid w:val="00365C2D"/>
    <w:rsid w:val="003667C1"/>
    <w:rsid w:val="00366F52"/>
    <w:rsid w:val="00367DFA"/>
    <w:rsid w:val="00377BE8"/>
    <w:rsid w:val="003802E1"/>
    <w:rsid w:val="00380C73"/>
    <w:rsid w:val="00382EFA"/>
    <w:rsid w:val="00384B5B"/>
    <w:rsid w:val="0038526E"/>
    <w:rsid w:val="003856D0"/>
    <w:rsid w:val="003945C6"/>
    <w:rsid w:val="00395974"/>
    <w:rsid w:val="003A0744"/>
    <w:rsid w:val="003A0AF7"/>
    <w:rsid w:val="003A3914"/>
    <w:rsid w:val="003A473C"/>
    <w:rsid w:val="003A66C8"/>
    <w:rsid w:val="003A76C0"/>
    <w:rsid w:val="003A7CA0"/>
    <w:rsid w:val="003B4CC2"/>
    <w:rsid w:val="003B620C"/>
    <w:rsid w:val="003C06AB"/>
    <w:rsid w:val="003C0CC1"/>
    <w:rsid w:val="003C47B0"/>
    <w:rsid w:val="003C49B0"/>
    <w:rsid w:val="003C6F95"/>
    <w:rsid w:val="003C6FD4"/>
    <w:rsid w:val="003D2C8D"/>
    <w:rsid w:val="003D4FAE"/>
    <w:rsid w:val="003D51F2"/>
    <w:rsid w:val="003D5363"/>
    <w:rsid w:val="003D6711"/>
    <w:rsid w:val="003E5806"/>
    <w:rsid w:val="003E66DF"/>
    <w:rsid w:val="003E75B6"/>
    <w:rsid w:val="00405814"/>
    <w:rsid w:val="00406B80"/>
    <w:rsid w:val="00414547"/>
    <w:rsid w:val="00416874"/>
    <w:rsid w:val="00417FC9"/>
    <w:rsid w:val="004202C6"/>
    <w:rsid w:val="004204FB"/>
    <w:rsid w:val="0042327A"/>
    <w:rsid w:val="00423B7C"/>
    <w:rsid w:val="004264B1"/>
    <w:rsid w:val="00426838"/>
    <w:rsid w:val="00431D58"/>
    <w:rsid w:val="00432C4C"/>
    <w:rsid w:val="00432C84"/>
    <w:rsid w:val="00433858"/>
    <w:rsid w:val="004466B0"/>
    <w:rsid w:val="00446F00"/>
    <w:rsid w:val="004527EA"/>
    <w:rsid w:val="00454CE0"/>
    <w:rsid w:val="00457D81"/>
    <w:rsid w:val="00460F6E"/>
    <w:rsid w:val="00461B15"/>
    <w:rsid w:val="0046310E"/>
    <w:rsid w:val="00472B77"/>
    <w:rsid w:val="004748F1"/>
    <w:rsid w:val="00474EA1"/>
    <w:rsid w:val="00475A4C"/>
    <w:rsid w:val="0047711F"/>
    <w:rsid w:val="004772B6"/>
    <w:rsid w:val="00481934"/>
    <w:rsid w:val="00482F38"/>
    <w:rsid w:val="0048664D"/>
    <w:rsid w:val="004877B9"/>
    <w:rsid w:val="00487DA6"/>
    <w:rsid w:val="00492C11"/>
    <w:rsid w:val="00493866"/>
    <w:rsid w:val="00493FB2"/>
    <w:rsid w:val="004975B6"/>
    <w:rsid w:val="004A1D2A"/>
    <w:rsid w:val="004A2991"/>
    <w:rsid w:val="004A3838"/>
    <w:rsid w:val="004A3DEE"/>
    <w:rsid w:val="004A41EF"/>
    <w:rsid w:val="004B05C4"/>
    <w:rsid w:val="004B3124"/>
    <w:rsid w:val="004B368D"/>
    <w:rsid w:val="004B3E54"/>
    <w:rsid w:val="004B40FD"/>
    <w:rsid w:val="004B4D8D"/>
    <w:rsid w:val="004B5D14"/>
    <w:rsid w:val="004B744E"/>
    <w:rsid w:val="004B74CC"/>
    <w:rsid w:val="004B7539"/>
    <w:rsid w:val="004B7C51"/>
    <w:rsid w:val="004C04DC"/>
    <w:rsid w:val="004C26CE"/>
    <w:rsid w:val="004C351A"/>
    <w:rsid w:val="004C4A14"/>
    <w:rsid w:val="004C52D8"/>
    <w:rsid w:val="004D0289"/>
    <w:rsid w:val="004D2E9D"/>
    <w:rsid w:val="004D5774"/>
    <w:rsid w:val="004D7355"/>
    <w:rsid w:val="004D79CD"/>
    <w:rsid w:val="004E0A64"/>
    <w:rsid w:val="004E23BD"/>
    <w:rsid w:val="004E3DEF"/>
    <w:rsid w:val="004E5595"/>
    <w:rsid w:val="004E55EC"/>
    <w:rsid w:val="005062CA"/>
    <w:rsid w:val="00507402"/>
    <w:rsid w:val="005101C3"/>
    <w:rsid w:val="005155A0"/>
    <w:rsid w:val="00516D13"/>
    <w:rsid w:val="00517ADD"/>
    <w:rsid w:val="00522283"/>
    <w:rsid w:val="00523D91"/>
    <w:rsid w:val="005272D3"/>
    <w:rsid w:val="005273B1"/>
    <w:rsid w:val="005302E7"/>
    <w:rsid w:val="00532033"/>
    <w:rsid w:val="005327E9"/>
    <w:rsid w:val="0053782C"/>
    <w:rsid w:val="005410A6"/>
    <w:rsid w:val="00543FAA"/>
    <w:rsid w:val="005554AA"/>
    <w:rsid w:val="00556671"/>
    <w:rsid w:val="005618B2"/>
    <w:rsid w:val="00563B5E"/>
    <w:rsid w:val="00565431"/>
    <w:rsid w:val="00565607"/>
    <w:rsid w:val="005668B0"/>
    <w:rsid w:val="00566C8F"/>
    <w:rsid w:val="00570C18"/>
    <w:rsid w:val="00571548"/>
    <w:rsid w:val="00571709"/>
    <w:rsid w:val="0057377F"/>
    <w:rsid w:val="0057794A"/>
    <w:rsid w:val="00580A71"/>
    <w:rsid w:val="0058232B"/>
    <w:rsid w:val="00583230"/>
    <w:rsid w:val="00584AE9"/>
    <w:rsid w:val="0058648A"/>
    <w:rsid w:val="005900C9"/>
    <w:rsid w:val="0059417B"/>
    <w:rsid w:val="00594BEE"/>
    <w:rsid w:val="00596063"/>
    <w:rsid w:val="00596CDD"/>
    <w:rsid w:val="005A3F36"/>
    <w:rsid w:val="005A4F76"/>
    <w:rsid w:val="005B0F7A"/>
    <w:rsid w:val="005B1AD1"/>
    <w:rsid w:val="005B385A"/>
    <w:rsid w:val="005B4943"/>
    <w:rsid w:val="005B6997"/>
    <w:rsid w:val="005C0767"/>
    <w:rsid w:val="005C1424"/>
    <w:rsid w:val="005C2840"/>
    <w:rsid w:val="005C30A2"/>
    <w:rsid w:val="005C4124"/>
    <w:rsid w:val="005C684C"/>
    <w:rsid w:val="005C6A60"/>
    <w:rsid w:val="005D45F7"/>
    <w:rsid w:val="005D4762"/>
    <w:rsid w:val="005D5233"/>
    <w:rsid w:val="005D7EBD"/>
    <w:rsid w:val="005E020C"/>
    <w:rsid w:val="005E275C"/>
    <w:rsid w:val="005E35A9"/>
    <w:rsid w:val="005E6FC2"/>
    <w:rsid w:val="005F1792"/>
    <w:rsid w:val="005F5CBF"/>
    <w:rsid w:val="005F7200"/>
    <w:rsid w:val="005F7A0E"/>
    <w:rsid w:val="006005B3"/>
    <w:rsid w:val="00600EDA"/>
    <w:rsid w:val="0060184C"/>
    <w:rsid w:val="00602687"/>
    <w:rsid w:val="00602753"/>
    <w:rsid w:val="00604A3D"/>
    <w:rsid w:val="00604C3D"/>
    <w:rsid w:val="00606591"/>
    <w:rsid w:val="006131DF"/>
    <w:rsid w:val="006144B1"/>
    <w:rsid w:val="0061765C"/>
    <w:rsid w:val="00622552"/>
    <w:rsid w:val="00623478"/>
    <w:rsid w:val="0062443A"/>
    <w:rsid w:val="006248A5"/>
    <w:rsid w:val="00626534"/>
    <w:rsid w:val="00626B33"/>
    <w:rsid w:val="00631A14"/>
    <w:rsid w:val="00631E79"/>
    <w:rsid w:val="00634AF5"/>
    <w:rsid w:val="00636D7B"/>
    <w:rsid w:val="006414B9"/>
    <w:rsid w:val="00641951"/>
    <w:rsid w:val="006428C9"/>
    <w:rsid w:val="00643594"/>
    <w:rsid w:val="00645994"/>
    <w:rsid w:val="006531B1"/>
    <w:rsid w:val="0065585E"/>
    <w:rsid w:val="006640CD"/>
    <w:rsid w:val="00664A1E"/>
    <w:rsid w:val="00666868"/>
    <w:rsid w:val="006729A5"/>
    <w:rsid w:val="00675F27"/>
    <w:rsid w:val="00682F29"/>
    <w:rsid w:val="00685C73"/>
    <w:rsid w:val="00691082"/>
    <w:rsid w:val="00693262"/>
    <w:rsid w:val="006936BB"/>
    <w:rsid w:val="00693A1D"/>
    <w:rsid w:val="00694016"/>
    <w:rsid w:val="00697442"/>
    <w:rsid w:val="006A1851"/>
    <w:rsid w:val="006A2FDA"/>
    <w:rsid w:val="006A45D6"/>
    <w:rsid w:val="006A57C0"/>
    <w:rsid w:val="006A7301"/>
    <w:rsid w:val="006A7897"/>
    <w:rsid w:val="006B39E9"/>
    <w:rsid w:val="006C2AE2"/>
    <w:rsid w:val="006C4E0B"/>
    <w:rsid w:val="006C4E0D"/>
    <w:rsid w:val="006C7CC9"/>
    <w:rsid w:val="006D54CF"/>
    <w:rsid w:val="006D6B1A"/>
    <w:rsid w:val="006E325E"/>
    <w:rsid w:val="006E6598"/>
    <w:rsid w:val="006E74D1"/>
    <w:rsid w:val="006F07E3"/>
    <w:rsid w:val="006F0EC9"/>
    <w:rsid w:val="006F22C3"/>
    <w:rsid w:val="006F2614"/>
    <w:rsid w:val="006F289E"/>
    <w:rsid w:val="006F401A"/>
    <w:rsid w:val="006F50F8"/>
    <w:rsid w:val="006F6192"/>
    <w:rsid w:val="0070044D"/>
    <w:rsid w:val="00707829"/>
    <w:rsid w:val="007128A2"/>
    <w:rsid w:val="007143AD"/>
    <w:rsid w:val="007165F7"/>
    <w:rsid w:val="00716D14"/>
    <w:rsid w:val="00717D4D"/>
    <w:rsid w:val="00720818"/>
    <w:rsid w:val="00720EBF"/>
    <w:rsid w:val="0072304C"/>
    <w:rsid w:val="00723A6C"/>
    <w:rsid w:val="00727B93"/>
    <w:rsid w:val="00732388"/>
    <w:rsid w:val="00732DB3"/>
    <w:rsid w:val="0073426D"/>
    <w:rsid w:val="00742311"/>
    <w:rsid w:val="00747284"/>
    <w:rsid w:val="00751713"/>
    <w:rsid w:val="00751E2A"/>
    <w:rsid w:val="00754B81"/>
    <w:rsid w:val="0075517A"/>
    <w:rsid w:val="007570AB"/>
    <w:rsid w:val="00770366"/>
    <w:rsid w:val="0077092E"/>
    <w:rsid w:val="0077201A"/>
    <w:rsid w:val="007727CB"/>
    <w:rsid w:val="007751BC"/>
    <w:rsid w:val="00775228"/>
    <w:rsid w:val="00777E23"/>
    <w:rsid w:val="007806CE"/>
    <w:rsid w:val="0078114E"/>
    <w:rsid w:val="007839FC"/>
    <w:rsid w:val="007857E3"/>
    <w:rsid w:val="00792183"/>
    <w:rsid w:val="007938BA"/>
    <w:rsid w:val="00795842"/>
    <w:rsid w:val="0079632E"/>
    <w:rsid w:val="00796733"/>
    <w:rsid w:val="00797EF2"/>
    <w:rsid w:val="007A0625"/>
    <w:rsid w:val="007A1F9E"/>
    <w:rsid w:val="007A3593"/>
    <w:rsid w:val="007A480C"/>
    <w:rsid w:val="007B468F"/>
    <w:rsid w:val="007B5E88"/>
    <w:rsid w:val="007B76B3"/>
    <w:rsid w:val="007B783E"/>
    <w:rsid w:val="007C1507"/>
    <w:rsid w:val="007C20AF"/>
    <w:rsid w:val="007C5AF0"/>
    <w:rsid w:val="007C5BAE"/>
    <w:rsid w:val="007C67BF"/>
    <w:rsid w:val="007D1FCA"/>
    <w:rsid w:val="007D660D"/>
    <w:rsid w:val="007E3054"/>
    <w:rsid w:val="007E554B"/>
    <w:rsid w:val="007E6FF6"/>
    <w:rsid w:val="007F128C"/>
    <w:rsid w:val="007F26BB"/>
    <w:rsid w:val="007F30A1"/>
    <w:rsid w:val="007F4737"/>
    <w:rsid w:val="007F5342"/>
    <w:rsid w:val="007F6B1C"/>
    <w:rsid w:val="007F70FC"/>
    <w:rsid w:val="00805602"/>
    <w:rsid w:val="00805D52"/>
    <w:rsid w:val="008071BD"/>
    <w:rsid w:val="008073FE"/>
    <w:rsid w:val="00811CDC"/>
    <w:rsid w:val="00813078"/>
    <w:rsid w:val="008138A9"/>
    <w:rsid w:val="00813E10"/>
    <w:rsid w:val="008149CF"/>
    <w:rsid w:val="00814D82"/>
    <w:rsid w:val="008172F2"/>
    <w:rsid w:val="008200DD"/>
    <w:rsid w:val="00820D52"/>
    <w:rsid w:val="00821ED1"/>
    <w:rsid w:val="00822058"/>
    <w:rsid w:val="0082319F"/>
    <w:rsid w:val="0082487B"/>
    <w:rsid w:val="008248CF"/>
    <w:rsid w:val="008251B2"/>
    <w:rsid w:val="00831BA9"/>
    <w:rsid w:val="0083672B"/>
    <w:rsid w:val="00837D8A"/>
    <w:rsid w:val="00841EE8"/>
    <w:rsid w:val="008519AB"/>
    <w:rsid w:val="00851E8D"/>
    <w:rsid w:val="0085377C"/>
    <w:rsid w:val="00856407"/>
    <w:rsid w:val="00857358"/>
    <w:rsid w:val="0086039A"/>
    <w:rsid w:val="00860EC6"/>
    <w:rsid w:val="00860F75"/>
    <w:rsid w:val="0086159E"/>
    <w:rsid w:val="0086391A"/>
    <w:rsid w:val="0086597B"/>
    <w:rsid w:val="008660B1"/>
    <w:rsid w:val="00866716"/>
    <w:rsid w:val="008670BC"/>
    <w:rsid w:val="00870BC2"/>
    <w:rsid w:val="00870F0E"/>
    <w:rsid w:val="00874C49"/>
    <w:rsid w:val="008776BA"/>
    <w:rsid w:val="00880EB0"/>
    <w:rsid w:val="008810A3"/>
    <w:rsid w:val="00882451"/>
    <w:rsid w:val="00882A4D"/>
    <w:rsid w:val="008833E9"/>
    <w:rsid w:val="00887C4A"/>
    <w:rsid w:val="00887E77"/>
    <w:rsid w:val="0089138A"/>
    <w:rsid w:val="00891CEA"/>
    <w:rsid w:val="008934F3"/>
    <w:rsid w:val="00894787"/>
    <w:rsid w:val="00894B5F"/>
    <w:rsid w:val="0089524F"/>
    <w:rsid w:val="00896C3A"/>
    <w:rsid w:val="00897289"/>
    <w:rsid w:val="008A0861"/>
    <w:rsid w:val="008A0E80"/>
    <w:rsid w:val="008A25E9"/>
    <w:rsid w:val="008A2806"/>
    <w:rsid w:val="008A4D7C"/>
    <w:rsid w:val="008A5F33"/>
    <w:rsid w:val="008A65A1"/>
    <w:rsid w:val="008B24BF"/>
    <w:rsid w:val="008B49BE"/>
    <w:rsid w:val="008B52BA"/>
    <w:rsid w:val="008B58DC"/>
    <w:rsid w:val="008B73CE"/>
    <w:rsid w:val="008C2187"/>
    <w:rsid w:val="008C3D9B"/>
    <w:rsid w:val="008C5F03"/>
    <w:rsid w:val="008D0789"/>
    <w:rsid w:val="008D342C"/>
    <w:rsid w:val="008D4152"/>
    <w:rsid w:val="008D5723"/>
    <w:rsid w:val="008D5C17"/>
    <w:rsid w:val="008D6AE1"/>
    <w:rsid w:val="008E1D99"/>
    <w:rsid w:val="008E2649"/>
    <w:rsid w:val="008E4E04"/>
    <w:rsid w:val="008E622F"/>
    <w:rsid w:val="008F11CC"/>
    <w:rsid w:val="008F24DB"/>
    <w:rsid w:val="008F535A"/>
    <w:rsid w:val="008F54FC"/>
    <w:rsid w:val="008F6C88"/>
    <w:rsid w:val="008F7250"/>
    <w:rsid w:val="009015E3"/>
    <w:rsid w:val="00901D2D"/>
    <w:rsid w:val="00901E25"/>
    <w:rsid w:val="00903694"/>
    <w:rsid w:val="0090525D"/>
    <w:rsid w:val="00906E5E"/>
    <w:rsid w:val="00911E05"/>
    <w:rsid w:val="00911EFA"/>
    <w:rsid w:val="00915773"/>
    <w:rsid w:val="009169C4"/>
    <w:rsid w:val="00916E49"/>
    <w:rsid w:val="00917528"/>
    <w:rsid w:val="00920227"/>
    <w:rsid w:val="009203BC"/>
    <w:rsid w:val="00921039"/>
    <w:rsid w:val="00922BBD"/>
    <w:rsid w:val="00923A3D"/>
    <w:rsid w:val="009242FD"/>
    <w:rsid w:val="009259FD"/>
    <w:rsid w:val="00925F54"/>
    <w:rsid w:val="0092646A"/>
    <w:rsid w:val="00926ACF"/>
    <w:rsid w:val="00927D99"/>
    <w:rsid w:val="0093181E"/>
    <w:rsid w:val="009327D8"/>
    <w:rsid w:val="009351FA"/>
    <w:rsid w:val="0093533F"/>
    <w:rsid w:val="00935AC3"/>
    <w:rsid w:val="00937025"/>
    <w:rsid w:val="00937F7C"/>
    <w:rsid w:val="00940B36"/>
    <w:rsid w:val="0094568A"/>
    <w:rsid w:val="00945B62"/>
    <w:rsid w:val="00946241"/>
    <w:rsid w:val="00950926"/>
    <w:rsid w:val="00952CE7"/>
    <w:rsid w:val="00955DED"/>
    <w:rsid w:val="00956383"/>
    <w:rsid w:val="00956462"/>
    <w:rsid w:val="0095741E"/>
    <w:rsid w:val="0096177C"/>
    <w:rsid w:val="009622B6"/>
    <w:rsid w:val="00962D0D"/>
    <w:rsid w:val="0096597B"/>
    <w:rsid w:val="00965BA8"/>
    <w:rsid w:val="00972EE9"/>
    <w:rsid w:val="00975190"/>
    <w:rsid w:val="00977119"/>
    <w:rsid w:val="00981FA5"/>
    <w:rsid w:val="00983137"/>
    <w:rsid w:val="00983F09"/>
    <w:rsid w:val="00985108"/>
    <w:rsid w:val="00985F99"/>
    <w:rsid w:val="00990DAB"/>
    <w:rsid w:val="00991983"/>
    <w:rsid w:val="00992D77"/>
    <w:rsid w:val="00993596"/>
    <w:rsid w:val="00997267"/>
    <w:rsid w:val="00997C08"/>
    <w:rsid w:val="009A16F3"/>
    <w:rsid w:val="009A6D87"/>
    <w:rsid w:val="009B22D3"/>
    <w:rsid w:val="009B3425"/>
    <w:rsid w:val="009B5172"/>
    <w:rsid w:val="009B6CBC"/>
    <w:rsid w:val="009B6EFE"/>
    <w:rsid w:val="009B6FCF"/>
    <w:rsid w:val="009B7B3B"/>
    <w:rsid w:val="009C2E5B"/>
    <w:rsid w:val="009C6472"/>
    <w:rsid w:val="009D117D"/>
    <w:rsid w:val="009D18CF"/>
    <w:rsid w:val="009D1C4F"/>
    <w:rsid w:val="009D2AB1"/>
    <w:rsid w:val="009D2C5E"/>
    <w:rsid w:val="009D7D7D"/>
    <w:rsid w:val="009D7F83"/>
    <w:rsid w:val="009E0E57"/>
    <w:rsid w:val="009E114C"/>
    <w:rsid w:val="009E16AA"/>
    <w:rsid w:val="009E4EEA"/>
    <w:rsid w:val="009E703E"/>
    <w:rsid w:val="009F02E8"/>
    <w:rsid w:val="009F20D2"/>
    <w:rsid w:val="009F490B"/>
    <w:rsid w:val="009F58CE"/>
    <w:rsid w:val="009F61FA"/>
    <w:rsid w:val="009F7D20"/>
    <w:rsid w:val="00A03166"/>
    <w:rsid w:val="00A05DD3"/>
    <w:rsid w:val="00A1115F"/>
    <w:rsid w:val="00A111CE"/>
    <w:rsid w:val="00A12B7F"/>
    <w:rsid w:val="00A13568"/>
    <w:rsid w:val="00A1540C"/>
    <w:rsid w:val="00A17182"/>
    <w:rsid w:val="00A21BA7"/>
    <w:rsid w:val="00A32ABF"/>
    <w:rsid w:val="00A342E3"/>
    <w:rsid w:val="00A34A7C"/>
    <w:rsid w:val="00A352F0"/>
    <w:rsid w:val="00A37303"/>
    <w:rsid w:val="00A37C99"/>
    <w:rsid w:val="00A40F80"/>
    <w:rsid w:val="00A41EE3"/>
    <w:rsid w:val="00A43775"/>
    <w:rsid w:val="00A50E6C"/>
    <w:rsid w:val="00A5550C"/>
    <w:rsid w:val="00A56EEB"/>
    <w:rsid w:val="00A6087C"/>
    <w:rsid w:val="00A63A40"/>
    <w:rsid w:val="00A64907"/>
    <w:rsid w:val="00A66056"/>
    <w:rsid w:val="00A805B9"/>
    <w:rsid w:val="00A80DF8"/>
    <w:rsid w:val="00A86777"/>
    <w:rsid w:val="00A87569"/>
    <w:rsid w:val="00A87595"/>
    <w:rsid w:val="00A876A0"/>
    <w:rsid w:val="00A9380F"/>
    <w:rsid w:val="00A93DE6"/>
    <w:rsid w:val="00A93DEE"/>
    <w:rsid w:val="00A95A78"/>
    <w:rsid w:val="00A9636D"/>
    <w:rsid w:val="00A96977"/>
    <w:rsid w:val="00AA478D"/>
    <w:rsid w:val="00AA4EE3"/>
    <w:rsid w:val="00AA54B6"/>
    <w:rsid w:val="00AA662A"/>
    <w:rsid w:val="00AA6ACF"/>
    <w:rsid w:val="00AA7B93"/>
    <w:rsid w:val="00AB0956"/>
    <w:rsid w:val="00AB1601"/>
    <w:rsid w:val="00AB18C5"/>
    <w:rsid w:val="00AB26E1"/>
    <w:rsid w:val="00AB6815"/>
    <w:rsid w:val="00AB6F0F"/>
    <w:rsid w:val="00AC1F9C"/>
    <w:rsid w:val="00AC2430"/>
    <w:rsid w:val="00AD1997"/>
    <w:rsid w:val="00AD6EB0"/>
    <w:rsid w:val="00AE4CD1"/>
    <w:rsid w:val="00AE5AFB"/>
    <w:rsid w:val="00AF0147"/>
    <w:rsid w:val="00AF13FC"/>
    <w:rsid w:val="00AF4092"/>
    <w:rsid w:val="00AF419B"/>
    <w:rsid w:val="00AF7DC9"/>
    <w:rsid w:val="00B00E98"/>
    <w:rsid w:val="00B02855"/>
    <w:rsid w:val="00B03439"/>
    <w:rsid w:val="00B0669A"/>
    <w:rsid w:val="00B11DD4"/>
    <w:rsid w:val="00B12FE5"/>
    <w:rsid w:val="00B229DD"/>
    <w:rsid w:val="00B23E81"/>
    <w:rsid w:val="00B23EB7"/>
    <w:rsid w:val="00B31653"/>
    <w:rsid w:val="00B32BF0"/>
    <w:rsid w:val="00B33668"/>
    <w:rsid w:val="00B337B1"/>
    <w:rsid w:val="00B34F66"/>
    <w:rsid w:val="00B4058C"/>
    <w:rsid w:val="00B40BB2"/>
    <w:rsid w:val="00B40DA5"/>
    <w:rsid w:val="00B42EB4"/>
    <w:rsid w:val="00B44DB0"/>
    <w:rsid w:val="00B46FE6"/>
    <w:rsid w:val="00B47B45"/>
    <w:rsid w:val="00B54E3D"/>
    <w:rsid w:val="00B55087"/>
    <w:rsid w:val="00B57473"/>
    <w:rsid w:val="00B616C1"/>
    <w:rsid w:val="00B628E5"/>
    <w:rsid w:val="00B638DE"/>
    <w:rsid w:val="00B64286"/>
    <w:rsid w:val="00B658E6"/>
    <w:rsid w:val="00B65C96"/>
    <w:rsid w:val="00B7196B"/>
    <w:rsid w:val="00B71F6E"/>
    <w:rsid w:val="00B72388"/>
    <w:rsid w:val="00B7346B"/>
    <w:rsid w:val="00B76F27"/>
    <w:rsid w:val="00B778CD"/>
    <w:rsid w:val="00B81924"/>
    <w:rsid w:val="00B86B50"/>
    <w:rsid w:val="00B875E8"/>
    <w:rsid w:val="00B95507"/>
    <w:rsid w:val="00B97182"/>
    <w:rsid w:val="00BA0528"/>
    <w:rsid w:val="00BA2E33"/>
    <w:rsid w:val="00BA56C8"/>
    <w:rsid w:val="00BA6AF2"/>
    <w:rsid w:val="00BB1C62"/>
    <w:rsid w:val="00BB64B1"/>
    <w:rsid w:val="00BB6DA2"/>
    <w:rsid w:val="00BB6F91"/>
    <w:rsid w:val="00BB7080"/>
    <w:rsid w:val="00BC0F30"/>
    <w:rsid w:val="00BC4034"/>
    <w:rsid w:val="00BC4C16"/>
    <w:rsid w:val="00BC69DE"/>
    <w:rsid w:val="00BD1731"/>
    <w:rsid w:val="00BD197A"/>
    <w:rsid w:val="00BD1C70"/>
    <w:rsid w:val="00BD5870"/>
    <w:rsid w:val="00BD67EC"/>
    <w:rsid w:val="00BE2B6D"/>
    <w:rsid w:val="00BE2DC2"/>
    <w:rsid w:val="00BE4244"/>
    <w:rsid w:val="00BF3ABC"/>
    <w:rsid w:val="00BF487F"/>
    <w:rsid w:val="00BF6DEF"/>
    <w:rsid w:val="00C06B23"/>
    <w:rsid w:val="00C11DD1"/>
    <w:rsid w:val="00C120E2"/>
    <w:rsid w:val="00C20B5B"/>
    <w:rsid w:val="00C2111A"/>
    <w:rsid w:val="00C25A82"/>
    <w:rsid w:val="00C310AB"/>
    <w:rsid w:val="00C332F3"/>
    <w:rsid w:val="00C3672D"/>
    <w:rsid w:val="00C36E32"/>
    <w:rsid w:val="00C451A9"/>
    <w:rsid w:val="00C46B5C"/>
    <w:rsid w:val="00C55CFD"/>
    <w:rsid w:val="00C57D86"/>
    <w:rsid w:val="00C63891"/>
    <w:rsid w:val="00C66A4A"/>
    <w:rsid w:val="00C70860"/>
    <w:rsid w:val="00C73B23"/>
    <w:rsid w:val="00C73EAA"/>
    <w:rsid w:val="00C75A97"/>
    <w:rsid w:val="00C7607E"/>
    <w:rsid w:val="00C76205"/>
    <w:rsid w:val="00C772F3"/>
    <w:rsid w:val="00C772F6"/>
    <w:rsid w:val="00C7788C"/>
    <w:rsid w:val="00C8088E"/>
    <w:rsid w:val="00C84FE2"/>
    <w:rsid w:val="00C90046"/>
    <w:rsid w:val="00C91F9E"/>
    <w:rsid w:val="00C94971"/>
    <w:rsid w:val="00CA7537"/>
    <w:rsid w:val="00CB1134"/>
    <w:rsid w:val="00CB170B"/>
    <w:rsid w:val="00CB3368"/>
    <w:rsid w:val="00CB39B6"/>
    <w:rsid w:val="00CB4607"/>
    <w:rsid w:val="00CB565A"/>
    <w:rsid w:val="00CB5B83"/>
    <w:rsid w:val="00CB5D21"/>
    <w:rsid w:val="00CB6B9A"/>
    <w:rsid w:val="00CC084F"/>
    <w:rsid w:val="00CC0F48"/>
    <w:rsid w:val="00CC1232"/>
    <w:rsid w:val="00CC2475"/>
    <w:rsid w:val="00CC7DB0"/>
    <w:rsid w:val="00CD27DB"/>
    <w:rsid w:val="00CD7F6C"/>
    <w:rsid w:val="00CE171E"/>
    <w:rsid w:val="00CE2EA5"/>
    <w:rsid w:val="00CE5C76"/>
    <w:rsid w:val="00CE7503"/>
    <w:rsid w:val="00CF4C5A"/>
    <w:rsid w:val="00CF6463"/>
    <w:rsid w:val="00CF7399"/>
    <w:rsid w:val="00D02730"/>
    <w:rsid w:val="00D03288"/>
    <w:rsid w:val="00D04FD4"/>
    <w:rsid w:val="00D0700B"/>
    <w:rsid w:val="00D07261"/>
    <w:rsid w:val="00D1059A"/>
    <w:rsid w:val="00D1218B"/>
    <w:rsid w:val="00D15B7D"/>
    <w:rsid w:val="00D167D2"/>
    <w:rsid w:val="00D177E7"/>
    <w:rsid w:val="00D17BF5"/>
    <w:rsid w:val="00D216D9"/>
    <w:rsid w:val="00D22343"/>
    <w:rsid w:val="00D235FE"/>
    <w:rsid w:val="00D263F1"/>
    <w:rsid w:val="00D313A3"/>
    <w:rsid w:val="00D3577B"/>
    <w:rsid w:val="00D402CA"/>
    <w:rsid w:val="00D43B96"/>
    <w:rsid w:val="00D44CB2"/>
    <w:rsid w:val="00D45E02"/>
    <w:rsid w:val="00D471A6"/>
    <w:rsid w:val="00D516C8"/>
    <w:rsid w:val="00D537F9"/>
    <w:rsid w:val="00D53C1D"/>
    <w:rsid w:val="00D6213F"/>
    <w:rsid w:val="00D623A6"/>
    <w:rsid w:val="00D62911"/>
    <w:rsid w:val="00D62B6A"/>
    <w:rsid w:val="00D66765"/>
    <w:rsid w:val="00D71E82"/>
    <w:rsid w:val="00D72144"/>
    <w:rsid w:val="00D77F0F"/>
    <w:rsid w:val="00D82BE1"/>
    <w:rsid w:val="00D84C9C"/>
    <w:rsid w:val="00D86C99"/>
    <w:rsid w:val="00D9083F"/>
    <w:rsid w:val="00D92B71"/>
    <w:rsid w:val="00DA1C78"/>
    <w:rsid w:val="00DA2CFD"/>
    <w:rsid w:val="00DA3FAC"/>
    <w:rsid w:val="00DA780A"/>
    <w:rsid w:val="00DB1A36"/>
    <w:rsid w:val="00DB2266"/>
    <w:rsid w:val="00DB481F"/>
    <w:rsid w:val="00DC0C3B"/>
    <w:rsid w:val="00DC2136"/>
    <w:rsid w:val="00DC2924"/>
    <w:rsid w:val="00DC2D3B"/>
    <w:rsid w:val="00DC4573"/>
    <w:rsid w:val="00DD237D"/>
    <w:rsid w:val="00DD3883"/>
    <w:rsid w:val="00DD4294"/>
    <w:rsid w:val="00DE322C"/>
    <w:rsid w:val="00DE401D"/>
    <w:rsid w:val="00DE6C20"/>
    <w:rsid w:val="00DF0066"/>
    <w:rsid w:val="00DF7804"/>
    <w:rsid w:val="00E004EE"/>
    <w:rsid w:val="00E00694"/>
    <w:rsid w:val="00E00FB0"/>
    <w:rsid w:val="00E064CA"/>
    <w:rsid w:val="00E06A06"/>
    <w:rsid w:val="00E10633"/>
    <w:rsid w:val="00E11B95"/>
    <w:rsid w:val="00E12406"/>
    <w:rsid w:val="00E12E3A"/>
    <w:rsid w:val="00E1410C"/>
    <w:rsid w:val="00E157F7"/>
    <w:rsid w:val="00E16830"/>
    <w:rsid w:val="00E21B49"/>
    <w:rsid w:val="00E21CB0"/>
    <w:rsid w:val="00E24076"/>
    <w:rsid w:val="00E25ECE"/>
    <w:rsid w:val="00E324B4"/>
    <w:rsid w:val="00E327AE"/>
    <w:rsid w:val="00E362EF"/>
    <w:rsid w:val="00E52B37"/>
    <w:rsid w:val="00E53C8D"/>
    <w:rsid w:val="00E55EB5"/>
    <w:rsid w:val="00E55EC1"/>
    <w:rsid w:val="00E55EEF"/>
    <w:rsid w:val="00E56A0E"/>
    <w:rsid w:val="00E60394"/>
    <w:rsid w:val="00E619BB"/>
    <w:rsid w:val="00E65E91"/>
    <w:rsid w:val="00E67C8D"/>
    <w:rsid w:val="00E70688"/>
    <w:rsid w:val="00E70C39"/>
    <w:rsid w:val="00E73371"/>
    <w:rsid w:val="00E75888"/>
    <w:rsid w:val="00E77F95"/>
    <w:rsid w:val="00E80518"/>
    <w:rsid w:val="00E83861"/>
    <w:rsid w:val="00E852C2"/>
    <w:rsid w:val="00E86D94"/>
    <w:rsid w:val="00E87AD0"/>
    <w:rsid w:val="00E922A1"/>
    <w:rsid w:val="00E944DC"/>
    <w:rsid w:val="00E9474E"/>
    <w:rsid w:val="00E9516D"/>
    <w:rsid w:val="00E96332"/>
    <w:rsid w:val="00EA73C1"/>
    <w:rsid w:val="00EB268D"/>
    <w:rsid w:val="00EB34C7"/>
    <w:rsid w:val="00EB4CAE"/>
    <w:rsid w:val="00EB77A4"/>
    <w:rsid w:val="00EC0F55"/>
    <w:rsid w:val="00EC2A35"/>
    <w:rsid w:val="00EC30B5"/>
    <w:rsid w:val="00EC35D2"/>
    <w:rsid w:val="00EC4BEC"/>
    <w:rsid w:val="00EC5440"/>
    <w:rsid w:val="00EC54C2"/>
    <w:rsid w:val="00EC5792"/>
    <w:rsid w:val="00EC7A8B"/>
    <w:rsid w:val="00ED0BCC"/>
    <w:rsid w:val="00ED0C58"/>
    <w:rsid w:val="00ED6C14"/>
    <w:rsid w:val="00EE160B"/>
    <w:rsid w:val="00EE18CC"/>
    <w:rsid w:val="00EF1E35"/>
    <w:rsid w:val="00EF2204"/>
    <w:rsid w:val="00EF7114"/>
    <w:rsid w:val="00EF7886"/>
    <w:rsid w:val="00F01BD8"/>
    <w:rsid w:val="00F01CBB"/>
    <w:rsid w:val="00F02ADB"/>
    <w:rsid w:val="00F05BCC"/>
    <w:rsid w:val="00F06AA2"/>
    <w:rsid w:val="00F06BDE"/>
    <w:rsid w:val="00F075A5"/>
    <w:rsid w:val="00F1151B"/>
    <w:rsid w:val="00F171D9"/>
    <w:rsid w:val="00F17D02"/>
    <w:rsid w:val="00F2024E"/>
    <w:rsid w:val="00F24869"/>
    <w:rsid w:val="00F36F33"/>
    <w:rsid w:val="00F37734"/>
    <w:rsid w:val="00F4178F"/>
    <w:rsid w:val="00F419A6"/>
    <w:rsid w:val="00F43CD1"/>
    <w:rsid w:val="00F44E51"/>
    <w:rsid w:val="00F4509E"/>
    <w:rsid w:val="00F46168"/>
    <w:rsid w:val="00F500CB"/>
    <w:rsid w:val="00F509C1"/>
    <w:rsid w:val="00F51ACA"/>
    <w:rsid w:val="00F560B3"/>
    <w:rsid w:val="00F56DA8"/>
    <w:rsid w:val="00F607F8"/>
    <w:rsid w:val="00F64136"/>
    <w:rsid w:val="00F66CB2"/>
    <w:rsid w:val="00F71B43"/>
    <w:rsid w:val="00F730A3"/>
    <w:rsid w:val="00F763E7"/>
    <w:rsid w:val="00F77E38"/>
    <w:rsid w:val="00F817F5"/>
    <w:rsid w:val="00F838D1"/>
    <w:rsid w:val="00F84114"/>
    <w:rsid w:val="00F8594C"/>
    <w:rsid w:val="00F86C35"/>
    <w:rsid w:val="00F874FE"/>
    <w:rsid w:val="00F87CB0"/>
    <w:rsid w:val="00F901AF"/>
    <w:rsid w:val="00F9063F"/>
    <w:rsid w:val="00F965E6"/>
    <w:rsid w:val="00F9754C"/>
    <w:rsid w:val="00FA0560"/>
    <w:rsid w:val="00FA2D4A"/>
    <w:rsid w:val="00FA36BA"/>
    <w:rsid w:val="00FA3C64"/>
    <w:rsid w:val="00FA48C3"/>
    <w:rsid w:val="00FA5250"/>
    <w:rsid w:val="00FA538C"/>
    <w:rsid w:val="00FA6037"/>
    <w:rsid w:val="00FB5091"/>
    <w:rsid w:val="00FB6A72"/>
    <w:rsid w:val="00FC288E"/>
    <w:rsid w:val="00FC6350"/>
    <w:rsid w:val="00FC685C"/>
    <w:rsid w:val="00FD0043"/>
    <w:rsid w:val="00FD5867"/>
    <w:rsid w:val="00FE04B1"/>
    <w:rsid w:val="00FE0ECE"/>
    <w:rsid w:val="00FE2969"/>
    <w:rsid w:val="00FE455C"/>
    <w:rsid w:val="00FE5522"/>
    <w:rsid w:val="00FE5718"/>
    <w:rsid w:val="00FE7353"/>
    <w:rsid w:val="00FF2772"/>
    <w:rsid w:val="00FF2A5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ED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link w:val="3GPPNormalText"/>
    <w:qFormat/>
    <w:rsid w:val="009E114C"/>
    <w:rPr>
      <w:rFonts w:eastAsia="MS Mincho"/>
      <w:sz w:val="22"/>
      <w:szCs w:val="24"/>
      <w:lang w:val="en-US" w:eastAsia="zh-CN"/>
    </w:rPr>
  </w:style>
  <w:style w:type="paragraph" w:customStyle="1" w:styleId="3GPPNormalText">
    <w:name w:val="3GPP Normal Text"/>
    <w:basedOn w:val="BodyText"/>
    <w:link w:val="3GPPNormalTextChar"/>
    <w:qFormat/>
    <w:rsid w:val="00457D81"/>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457D81"/>
    <w:pPr>
      <w:spacing w:after="120"/>
    </w:pPr>
  </w:style>
  <w:style w:type="character" w:customStyle="1" w:styleId="BodyTextChar">
    <w:name w:val="Body Text Char"/>
    <w:basedOn w:val="DefaultParagraphFont"/>
    <w:link w:val="BodyText"/>
    <w:uiPriority w:val="99"/>
    <w:semiHidden/>
    <w:rsid w:val="00457D81"/>
    <w:rPr>
      <w:rFonts w:ascii="Times New Roman" w:eastAsia="Times New Roman" w:hAnsi="Times New Roman" w:cs="Times New Roman"/>
      <w:sz w:val="24"/>
      <w:szCs w:val="24"/>
    </w:rPr>
  </w:style>
  <w:style w:type="paragraph" w:customStyle="1" w:styleId="ZT">
    <w:name w:val="ZT"/>
    <w:qFormat/>
    <w:rsid w:val="00860EC6"/>
    <w:pPr>
      <w:framePr w:wrap="notBeside" w:hAnchor="margin" w:yAlign="center"/>
      <w:widowControl w:val="0"/>
      <w:spacing w:line="240" w:lineRule="atLeast"/>
      <w:jc w:val="right"/>
    </w:pPr>
    <w:rPr>
      <w:rFonts w:ascii="Arial" w:eastAsia="Times New Roman" w:hAnsi="Arial" w:cs="Times New Roman"/>
      <w:b/>
      <w:sz w:val="34"/>
      <w:lang w:val="en-GB" w:eastAsia="en-US"/>
    </w:rPr>
  </w:style>
  <w:style w:type="character" w:customStyle="1" w:styleId="ZGSM">
    <w:name w:val="ZGSM"/>
    <w:rsid w:val="00870BC2"/>
  </w:style>
  <w:style w:type="paragraph" w:customStyle="1" w:styleId="LD">
    <w:name w:val="LD"/>
    <w:rsid w:val="00870BC2"/>
    <w:pPr>
      <w:keepNext/>
      <w:keepLines/>
      <w:spacing w:line="180" w:lineRule="exact"/>
    </w:pPr>
    <w:rPr>
      <w:rFonts w:ascii="Courier New" w:eastAsia="MS Mincho" w:hAnsi="Courier New"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557</TotalTime>
  <Pages>9</Pages>
  <Words>2758</Words>
  <Characters>15721</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252</cp:revision>
  <dcterms:created xsi:type="dcterms:W3CDTF">2025-08-03T23:00:00Z</dcterms:created>
  <dcterms:modified xsi:type="dcterms:W3CDTF">2025-11-07T19:10:00Z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